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17" w:rsidRDefault="00450217" w:rsidP="00954F70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0217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A257C2" w:rsidRDefault="00450217" w:rsidP="00954F70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0217">
        <w:rPr>
          <w:rFonts w:ascii="Times New Roman" w:hAnsi="Times New Roman"/>
          <w:b/>
          <w:sz w:val="28"/>
          <w:szCs w:val="28"/>
        </w:rPr>
        <w:t xml:space="preserve">обращений граждан, поступивших в Министерство образования и науки Республики Татарстан в 1 полугодии </w:t>
      </w:r>
      <w:r w:rsidR="00A257C2" w:rsidRPr="005F505B">
        <w:rPr>
          <w:rFonts w:ascii="Times New Roman" w:hAnsi="Times New Roman"/>
          <w:b/>
          <w:sz w:val="28"/>
          <w:szCs w:val="28"/>
        </w:rPr>
        <w:t>201</w:t>
      </w:r>
      <w:r w:rsidR="00A257C2">
        <w:rPr>
          <w:rFonts w:ascii="Times New Roman" w:hAnsi="Times New Roman"/>
          <w:b/>
          <w:sz w:val="28"/>
          <w:szCs w:val="28"/>
        </w:rPr>
        <w:t>6</w:t>
      </w:r>
      <w:r w:rsidR="00A257C2" w:rsidRPr="005F50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257C2" w:rsidRPr="005F505B" w:rsidRDefault="00A257C2" w:rsidP="00A257C2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5BD1" w:rsidRDefault="00A257C2" w:rsidP="00A257C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4A10">
        <w:rPr>
          <w:rFonts w:ascii="Times New Roman" w:hAnsi="Times New Roman"/>
          <w:sz w:val="28"/>
          <w:szCs w:val="28"/>
        </w:rPr>
        <w:t>В 1 полугодии 201</w:t>
      </w:r>
      <w:r>
        <w:rPr>
          <w:rFonts w:ascii="Times New Roman" w:hAnsi="Times New Roman"/>
          <w:sz w:val="28"/>
          <w:szCs w:val="28"/>
        </w:rPr>
        <w:t xml:space="preserve">6 года в </w:t>
      </w:r>
      <w:r w:rsidRPr="00854A10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Татарстан поступило </w:t>
      </w:r>
      <w:r w:rsidR="00C44362">
        <w:rPr>
          <w:rFonts w:ascii="Times New Roman" w:hAnsi="Times New Roman"/>
          <w:sz w:val="28"/>
          <w:szCs w:val="28"/>
        </w:rPr>
        <w:t>3753 обращения</w:t>
      </w:r>
      <w:r w:rsidR="00A4075D">
        <w:rPr>
          <w:rFonts w:ascii="Times New Roman" w:hAnsi="Times New Roman"/>
          <w:sz w:val="28"/>
          <w:szCs w:val="28"/>
        </w:rPr>
        <w:t xml:space="preserve"> (</w:t>
      </w:r>
      <w:r w:rsidR="00233957">
        <w:rPr>
          <w:rFonts w:ascii="Times New Roman" w:hAnsi="Times New Roman"/>
          <w:sz w:val="28"/>
          <w:szCs w:val="28"/>
        </w:rPr>
        <w:t xml:space="preserve">в том числе 3350 </w:t>
      </w:r>
      <w:proofErr w:type="gramStart"/>
      <w:r w:rsidR="00233957">
        <w:rPr>
          <w:rFonts w:ascii="Times New Roman" w:hAnsi="Times New Roman"/>
          <w:sz w:val="28"/>
          <w:szCs w:val="28"/>
        </w:rPr>
        <w:t>письменных</w:t>
      </w:r>
      <w:proofErr w:type="gramEnd"/>
      <w:r w:rsidR="00233957">
        <w:rPr>
          <w:rFonts w:ascii="Times New Roman" w:hAnsi="Times New Roman"/>
          <w:sz w:val="28"/>
          <w:szCs w:val="28"/>
        </w:rPr>
        <w:t>)</w:t>
      </w:r>
      <w:r w:rsidR="00C44362">
        <w:rPr>
          <w:rFonts w:ascii="Times New Roman" w:hAnsi="Times New Roman"/>
          <w:sz w:val="28"/>
          <w:szCs w:val="28"/>
        </w:rPr>
        <w:t xml:space="preserve">, что на 14% </w:t>
      </w:r>
      <w:r w:rsidR="00CB5BD1">
        <w:rPr>
          <w:rFonts w:ascii="Times New Roman" w:hAnsi="Times New Roman"/>
          <w:sz w:val="28"/>
          <w:szCs w:val="28"/>
        </w:rPr>
        <w:t xml:space="preserve">больше, чем </w:t>
      </w:r>
      <w:r w:rsidR="00B67D18">
        <w:rPr>
          <w:rFonts w:ascii="Times New Roman" w:hAnsi="Times New Roman"/>
          <w:sz w:val="28"/>
          <w:szCs w:val="28"/>
        </w:rPr>
        <w:t xml:space="preserve">за </w:t>
      </w:r>
      <w:r w:rsidR="00233957">
        <w:rPr>
          <w:rFonts w:ascii="Times New Roman" w:hAnsi="Times New Roman"/>
          <w:sz w:val="28"/>
          <w:szCs w:val="28"/>
        </w:rPr>
        <w:t xml:space="preserve"> аналогичн</w:t>
      </w:r>
      <w:r w:rsidR="00B67D18">
        <w:rPr>
          <w:rFonts w:ascii="Times New Roman" w:hAnsi="Times New Roman"/>
          <w:sz w:val="28"/>
          <w:szCs w:val="28"/>
        </w:rPr>
        <w:t>ый</w:t>
      </w:r>
      <w:r w:rsidR="00233957">
        <w:rPr>
          <w:rFonts w:ascii="Times New Roman" w:hAnsi="Times New Roman"/>
          <w:sz w:val="28"/>
          <w:szCs w:val="28"/>
        </w:rPr>
        <w:t xml:space="preserve"> период</w:t>
      </w:r>
      <w:r w:rsidR="002A11C7">
        <w:rPr>
          <w:rFonts w:ascii="Times New Roman" w:hAnsi="Times New Roman"/>
          <w:sz w:val="28"/>
          <w:szCs w:val="28"/>
        </w:rPr>
        <w:t xml:space="preserve"> прошл</w:t>
      </w:r>
      <w:r w:rsidR="00233957">
        <w:rPr>
          <w:rFonts w:ascii="Times New Roman" w:hAnsi="Times New Roman"/>
          <w:sz w:val="28"/>
          <w:szCs w:val="28"/>
        </w:rPr>
        <w:t>ого</w:t>
      </w:r>
      <w:r w:rsidR="002A11C7">
        <w:rPr>
          <w:rFonts w:ascii="Times New Roman" w:hAnsi="Times New Roman"/>
          <w:sz w:val="28"/>
          <w:szCs w:val="28"/>
        </w:rPr>
        <w:t xml:space="preserve"> год</w:t>
      </w:r>
      <w:r w:rsidR="00233957">
        <w:rPr>
          <w:rFonts w:ascii="Times New Roman" w:hAnsi="Times New Roman"/>
          <w:sz w:val="28"/>
          <w:szCs w:val="28"/>
        </w:rPr>
        <w:t>а</w:t>
      </w:r>
      <w:r w:rsidR="002A11C7">
        <w:rPr>
          <w:rFonts w:ascii="Times New Roman" w:hAnsi="Times New Roman"/>
          <w:sz w:val="28"/>
          <w:szCs w:val="28"/>
        </w:rPr>
        <w:t>.</w:t>
      </w:r>
    </w:p>
    <w:p w:rsidR="00A257C2" w:rsidRDefault="00CB5BD1" w:rsidP="00A257C2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5BD1">
        <w:rPr>
          <w:rFonts w:ascii="Times New Roman" w:hAnsi="Times New Roman"/>
          <w:sz w:val="28"/>
          <w:szCs w:val="28"/>
        </w:rPr>
        <w:t>Основными источниками поступления обращений являются следующие: интернет-приемная – 1501, почта - 640, электронная почта – 61</w:t>
      </w:r>
      <w:r>
        <w:rPr>
          <w:rFonts w:ascii="Times New Roman" w:hAnsi="Times New Roman"/>
          <w:sz w:val="28"/>
          <w:szCs w:val="28"/>
        </w:rPr>
        <w:t xml:space="preserve">0, электронный документооборот </w:t>
      </w:r>
      <w:r w:rsidRPr="00CB5BD1">
        <w:rPr>
          <w:rFonts w:ascii="Times New Roman" w:hAnsi="Times New Roman"/>
          <w:sz w:val="28"/>
          <w:szCs w:val="28"/>
        </w:rPr>
        <w:t xml:space="preserve"> – 451.</w:t>
      </w:r>
      <w:r w:rsidR="009A6BA3">
        <w:rPr>
          <w:rFonts w:ascii="Times New Roman" w:hAnsi="Times New Roman"/>
          <w:sz w:val="28"/>
          <w:szCs w:val="28"/>
        </w:rPr>
        <w:t xml:space="preserve"> </w:t>
      </w:r>
    </w:p>
    <w:p w:rsidR="00D43BCC" w:rsidRDefault="00233957" w:rsidP="00D43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B67D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33957">
        <w:rPr>
          <w:rFonts w:ascii="Times New Roman" w:hAnsi="Times New Roman"/>
          <w:sz w:val="28"/>
          <w:szCs w:val="28"/>
        </w:rPr>
        <w:t>а отчетный период в Министерстве состоялось 116 приемов, в том числе 17 с участием заместителя Премьер-министра Республики Татарстан – министра образования и науки, на которых было принято 229 граж</w:t>
      </w:r>
      <w:r w:rsidR="00CB5BD1">
        <w:rPr>
          <w:rFonts w:ascii="Times New Roman" w:hAnsi="Times New Roman"/>
          <w:sz w:val="28"/>
          <w:szCs w:val="28"/>
        </w:rPr>
        <w:t>дан</w:t>
      </w:r>
      <w:r w:rsidR="00D43BCC">
        <w:rPr>
          <w:rFonts w:ascii="Times New Roman" w:hAnsi="Times New Roman"/>
          <w:sz w:val="28"/>
          <w:szCs w:val="28"/>
        </w:rPr>
        <w:t xml:space="preserve">, </w:t>
      </w:r>
      <w:r w:rsidR="00D43BC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43BCC" w:rsidRPr="009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 w:rsidR="00D43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43BCC" w:rsidRPr="009A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лично министр. </w:t>
      </w:r>
    </w:p>
    <w:p w:rsidR="00DA7B74" w:rsidRDefault="00DA7B74" w:rsidP="00DA7B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вопросов, затронутых в обращениях граждан, за истекший период по темам </w:t>
      </w:r>
      <w:r w:rsidR="002A11C7">
        <w:rPr>
          <w:sz w:val="28"/>
          <w:szCs w:val="28"/>
        </w:rPr>
        <w:t>выглядит следующим образом</w:t>
      </w:r>
      <w:r>
        <w:rPr>
          <w:sz w:val="28"/>
          <w:szCs w:val="28"/>
        </w:rPr>
        <w:t>:</w:t>
      </w:r>
    </w:p>
    <w:p w:rsidR="007D6420" w:rsidRDefault="007D6420" w:rsidP="00DA7B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420" w:rsidRPr="006D512C" w:rsidRDefault="007D6420" w:rsidP="007D6420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Тематика поступивших  обращений 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Pr="00544FE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Pr="006D512C">
        <w:rPr>
          <w:rFonts w:ascii="Times New Roman" w:hAnsi="Times New Roman"/>
          <w:b/>
          <w:sz w:val="28"/>
          <w:szCs w:val="28"/>
        </w:rPr>
        <w:t>.</w:t>
      </w:r>
    </w:p>
    <w:p w:rsidR="007D6420" w:rsidRDefault="007D6420" w:rsidP="00DA7B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1"/>
        <w:tblW w:w="1044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21"/>
        <w:gridCol w:w="5221"/>
      </w:tblGrid>
      <w:tr w:rsidR="007D6420" w:rsidRPr="00D14ADE" w:rsidTr="007D6420">
        <w:trPr>
          <w:trHeight w:val="483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E05679">
            <w:pPr>
              <w:jc w:val="center"/>
              <w:rPr>
                <w:b/>
                <w:sz w:val="24"/>
                <w:szCs w:val="24"/>
              </w:rPr>
            </w:pPr>
            <w:r w:rsidRPr="00CB5BD1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Default="007D6420" w:rsidP="007D6420">
            <w:pPr>
              <w:jc w:val="center"/>
              <w:rPr>
                <w:b/>
                <w:sz w:val="24"/>
                <w:szCs w:val="24"/>
              </w:rPr>
            </w:pPr>
          </w:p>
          <w:p w:rsidR="007D6420" w:rsidRPr="00CB5BD1" w:rsidRDefault="007D6420" w:rsidP="007D6420">
            <w:pPr>
              <w:jc w:val="center"/>
              <w:rPr>
                <w:b/>
                <w:sz w:val="24"/>
                <w:szCs w:val="24"/>
              </w:rPr>
            </w:pPr>
            <w:r w:rsidRPr="00CB5BD1">
              <w:rPr>
                <w:b/>
                <w:sz w:val="24"/>
                <w:szCs w:val="24"/>
              </w:rPr>
              <w:t>% от общего числа обращений</w:t>
            </w:r>
          </w:p>
          <w:p w:rsidR="007D6420" w:rsidRPr="00CB5BD1" w:rsidRDefault="007D6420" w:rsidP="007D64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20" w:rsidRPr="00D14ADE" w:rsidTr="007E4E44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E05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Социальная сфера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B67D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72</w:t>
            </w:r>
          </w:p>
        </w:tc>
      </w:tr>
      <w:tr w:rsidR="007D6420" w:rsidRPr="00D14ADE" w:rsidTr="00BE08E2">
        <w:trPr>
          <w:trHeight w:val="328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2A11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Pr="00B67D18" w:rsidRDefault="007D6420" w:rsidP="00B67D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15</w:t>
            </w:r>
          </w:p>
        </w:tc>
      </w:tr>
      <w:tr w:rsidR="007D6420" w:rsidRPr="00D14ADE" w:rsidTr="00972264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E05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Pr="00B67D18" w:rsidRDefault="007D6420" w:rsidP="00C11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11</w:t>
            </w:r>
          </w:p>
        </w:tc>
      </w:tr>
      <w:tr w:rsidR="007D6420" w:rsidRPr="00D14ADE" w:rsidTr="00F17404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E05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Экономика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Pr="00B67D18" w:rsidRDefault="007D6420" w:rsidP="00E056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1,5</w:t>
            </w:r>
          </w:p>
        </w:tc>
      </w:tr>
      <w:tr w:rsidR="007D6420" w:rsidRPr="00D14ADE" w:rsidTr="00BB37C7">
        <w:trPr>
          <w:trHeight w:val="351"/>
        </w:trPr>
        <w:tc>
          <w:tcPr>
            <w:tcW w:w="5221" w:type="dxa"/>
            <w:shd w:val="clear" w:color="auto" w:fill="FFFFFF" w:themeFill="background1"/>
            <w:vAlign w:val="center"/>
          </w:tcPr>
          <w:p w:rsidR="007D6420" w:rsidRPr="00CB5BD1" w:rsidRDefault="007D6420" w:rsidP="00E056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7D6420" w:rsidRPr="00B67D18" w:rsidRDefault="007D6420" w:rsidP="00C11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0,5</w:t>
            </w:r>
          </w:p>
        </w:tc>
      </w:tr>
    </w:tbl>
    <w:p w:rsidR="007D6420" w:rsidRDefault="007D6420" w:rsidP="00B3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20" w:rsidRPr="00E73D81" w:rsidRDefault="007D6420" w:rsidP="007D64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81">
        <w:rPr>
          <w:rFonts w:ascii="Times New Roman" w:hAnsi="Times New Roman" w:cs="Times New Roman"/>
          <w:b/>
          <w:sz w:val="28"/>
          <w:szCs w:val="28"/>
        </w:rPr>
        <w:t>Количество поступивших обращений по тематике «Социальная сфера»</w:t>
      </w:r>
    </w:p>
    <w:p w:rsidR="007D6420" w:rsidRPr="00E73D81" w:rsidRDefault="007D6420" w:rsidP="007D64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73D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E73D81">
        <w:rPr>
          <w:rFonts w:ascii="Times New Roman" w:hAnsi="Times New Roman" w:cs="Times New Roman"/>
          <w:b/>
          <w:sz w:val="28"/>
          <w:szCs w:val="28"/>
        </w:rPr>
        <w:t>полугодие 2016 г.</w:t>
      </w:r>
    </w:p>
    <w:tbl>
      <w:tblPr>
        <w:tblStyle w:val="a7"/>
        <w:tblW w:w="1039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046"/>
        <w:gridCol w:w="2345"/>
      </w:tblGrid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b/>
                <w:sz w:val="24"/>
                <w:szCs w:val="24"/>
              </w:rPr>
              <w:t>Всего вопросов</w:t>
            </w:r>
          </w:p>
        </w:tc>
      </w:tr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Социальная</w:t>
            </w:r>
            <w:proofErr w:type="spellEnd"/>
            <w:r w:rsidRPr="00E73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сфера</w:t>
            </w:r>
            <w:proofErr w:type="spellEnd"/>
            <w:r w:rsidRPr="00E73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73D81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B75C10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0">
              <w:rPr>
                <w:rFonts w:ascii="Times New Roman" w:hAnsi="Times New Roman" w:cs="Times New Roman"/>
                <w:sz w:val="24"/>
                <w:szCs w:val="24"/>
              </w:rPr>
              <w:t>Образование (за исключением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дународного сотрудничества)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B75C10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Культура (за исключением международного сотрудничества)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6420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7D6420" w:rsidRPr="00E73D81" w:rsidRDefault="007D6420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Внешкольные учреждения – юных техников, лагерей отдыха и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кадрового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Вопросы социального обеспечения работников образования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Выплата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стипендий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Государственные интернаты и детские дома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Детские дошкольные воспитательные учреждения. Оплата за них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Единый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Компьютеризация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образовательных учреждениях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CD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Малокомплектные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системы образования на территории субъекта Российской Федерации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Об обучении на бюджетной основе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эквивалентности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дипломов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патриотическое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воспитание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рубежом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Оплата за детские дошкольные воспитательные учреждения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Оценка программ обучения и учебников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Платное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квалификации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внешкольных учреждений – юных техников, лагерей отдыха и т.д.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государственных интернатов и детских домов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Работа государственных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бщеобразовательных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 школ, кадетских и иных образовательных учреждений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Ремонт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Реорганизация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неэффективных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азовательных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учреждений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Система высшего профессионального образования. Деятельность руководителей вузов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Система высшего профессионального образования. Оценка деятельности руководителей вузов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дошкольного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среднего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профессионального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Управление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системой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3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D43BCC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43BCC" w:rsidRPr="00E73D81" w:rsidTr="00E05679">
        <w:trPr>
          <w:trHeight w:val="113"/>
        </w:trPr>
        <w:tc>
          <w:tcPr>
            <w:tcW w:w="8046" w:type="dxa"/>
            <w:shd w:val="clear" w:color="auto" w:fill="FFFFFF" w:themeFill="background1"/>
            <w:vAlign w:val="center"/>
          </w:tcPr>
          <w:p w:rsidR="00D43BCC" w:rsidRPr="00E73D81" w:rsidRDefault="00B75C10" w:rsidP="00E05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D43BCC" w:rsidRPr="00E73D81" w:rsidRDefault="00B75C10" w:rsidP="00E0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</w:tbl>
    <w:p w:rsidR="007D6420" w:rsidRDefault="007D6420" w:rsidP="00B3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92" w:rsidRPr="00B30D92" w:rsidRDefault="00BE353D" w:rsidP="00B3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свидетельствует о том, что н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популярными остаются вопросы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924 обращения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это вопросы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преподавания, методическо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территориальн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школе, порядк</w:t>
      </w:r>
      <w:r w:rsid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 и перевода детей в школы, 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малокомплектных школ и доставки детей в школы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местности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автобусах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C7" w:rsidRDefault="00BE353D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актуальности </w:t>
      </w:r>
      <w:r w:rsid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системой дошкольного образования детей, -  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779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из них 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затрагивают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пособий по уходу за детьми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D92" w:rsidRP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у</w:t>
      </w:r>
      <w:r w:rsidR="00B30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 детей в д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ошкольные учреждения</w:t>
      </w:r>
      <w:r w:rsidR="002A11C7" w:rsidRPr="002A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702" w:rsidRDefault="00BE353D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 w:rsid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604702" w:rsidRP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очередь и обеспечения ж</w:t>
      </w:r>
      <w:r w:rsidR="005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илыми помещениями  детей-сирот </w:t>
      </w:r>
      <w:r w:rsid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337 за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604702" w:rsidRP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C7" w:rsidRDefault="00604702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По-прежнему актуальными 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60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и среднего</w:t>
      </w:r>
      <w:r w:rsidR="005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– 221 обращение, вопросы строительства и ремонта образовательных учреждений -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трудоустройства, кадрового обеспечения образовательных учреждений и повышения квалификации педагогов 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117, запросы архивных данных - 82.</w:t>
      </w:r>
    </w:p>
    <w:p w:rsidR="00AD0CCC" w:rsidRDefault="00A4075D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21% по сравнению </w:t>
      </w:r>
      <w:r w:rsidRPr="00A4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увеличилось количество обращений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вопросами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0CCC" w:rsidRPr="00AD0CCC">
        <w:t xml:space="preserve"> </w:t>
      </w:r>
      <w:r w:rsidR="00AD0CCC" w:rsidRP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0CCC" w:rsidRP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усыновлени</w:t>
      </w:r>
      <w:r w:rsidR="00C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детей </w:t>
      </w:r>
      <w:r w:rsidR="00AD0C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116 обращений.</w:t>
      </w:r>
    </w:p>
    <w:p w:rsidR="00233957" w:rsidRDefault="00233957" w:rsidP="0095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обращений в 1 полугодии 2016 года были даны разъяснения по 1880 заявлениям, 312 обращений было перенаправлено по ведомственной принадлежности, по 358 заявлениям были приняты меры,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обращений на месте было осуществлено 224 выездные проверки,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1</w:t>
      </w:r>
      <w:r w:rsidR="00B67D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3957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проблемных ситуаций нашли положительное решение.</w:t>
      </w:r>
    </w:p>
    <w:p w:rsidR="00772BD1" w:rsidRPr="00772BD1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 в Министерстве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№59-ФЗ «О порядке рассмотрения обращений граждан Российской Федерации», Законом Республики Татарстан от    24.07.2014 №75-ЗРТ "О внесении изменений в Закон Республики Татарстан "Об обращениях граждан в Республике Татарстан".</w:t>
      </w:r>
    </w:p>
    <w:p w:rsidR="00772BD1" w:rsidRPr="00772BD1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заместителем Премьер-министра Республики Татарстан – министром образования и науки, его первым заместителем, заместителями проводится еженедельно по вторникам с 14.00 по предварительной записи.</w:t>
      </w:r>
    </w:p>
    <w:p w:rsidR="00772BD1" w:rsidRPr="00772BD1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руководством Министерства по следующим адресам: г. Казань, ул. Кремлевская, д. 9, </w:t>
      </w:r>
      <w:proofErr w:type="spell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proofErr w:type="spell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 и </w:t>
      </w:r>
      <w:proofErr w:type="spell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ул.Х.Ямашева</w:t>
      </w:r>
      <w:proofErr w:type="spell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д.36.</w:t>
      </w:r>
    </w:p>
    <w:p w:rsidR="00772BD1" w:rsidRPr="00772BD1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запись граждан на прием в Министерство осуществляют референты вышеуказанных должностных лиц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772BD1" w:rsidRPr="00772BD1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граждан на прием к министру, его первому заместителю, заместителям осуществляется ответственным сотрудником общего отдела по адресу: </w:t>
      </w:r>
      <w:proofErr w:type="spell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ул.Кремлевская</w:t>
      </w:r>
      <w:proofErr w:type="spell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9, </w:t>
      </w:r>
      <w:proofErr w:type="spellStart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101.</w:t>
      </w:r>
    </w:p>
    <w:p w:rsidR="00772BD1" w:rsidRPr="009A6BA3" w:rsidRDefault="00772BD1" w:rsidP="0077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Министерства в соответствии с </w:t>
      </w:r>
      <w:r w:rsidR="007D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7D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77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12.05.2003 №16-ЗРТ "Об обращениях граждан в Республике Татарстан".</w:t>
      </w:r>
    </w:p>
    <w:sectPr w:rsidR="00772BD1" w:rsidRPr="009A6BA3" w:rsidSect="00A4075D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15" w:rsidRDefault="00252015" w:rsidP="00E047BE">
      <w:pPr>
        <w:spacing w:after="0" w:line="240" w:lineRule="auto"/>
      </w:pPr>
      <w:r>
        <w:separator/>
      </w:r>
    </w:p>
  </w:endnote>
  <w:endnote w:type="continuationSeparator" w:id="0">
    <w:p w:rsidR="00252015" w:rsidRDefault="00252015" w:rsidP="00E0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15" w:rsidRDefault="00252015" w:rsidP="00E047BE">
      <w:pPr>
        <w:spacing w:after="0" w:line="240" w:lineRule="auto"/>
      </w:pPr>
      <w:r>
        <w:separator/>
      </w:r>
    </w:p>
  </w:footnote>
  <w:footnote w:type="continuationSeparator" w:id="0">
    <w:p w:rsidR="00252015" w:rsidRDefault="00252015" w:rsidP="00E0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04787"/>
      <w:docPartObj>
        <w:docPartGallery w:val="Page Numbers (Top of Page)"/>
        <w:docPartUnique/>
      </w:docPartObj>
    </w:sdtPr>
    <w:sdtEndPr/>
    <w:sdtContent>
      <w:p w:rsidR="00E047BE" w:rsidRDefault="00E0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47BE" w:rsidRDefault="00E047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5420"/>
      <w:docPartObj>
        <w:docPartGallery w:val="Page Numbers (Top of Page)"/>
        <w:docPartUnique/>
      </w:docPartObj>
    </w:sdtPr>
    <w:sdtEndPr/>
    <w:sdtContent>
      <w:p w:rsidR="00E047BE" w:rsidRDefault="00E0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17">
          <w:rPr>
            <w:noProof/>
          </w:rPr>
          <w:t>2</w:t>
        </w:r>
        <w:r>
          <w:fldChar w:fldCharType="end"/>
        </w:r>
      </w:p>
    </w:sdtContent>
  </w:sdt>
  <w:p w:rsidR="00E047BE" w:rsidRDefault="00E047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C2"/>
    <w:rsid w:val="000B0AFD"/>
    <w:rsid w:val="000F68A1"/>
    <w:rsid w:val="00233957"/>
    <w:rsid w:val="002513D2"/>
    <w:rsid w:val="00252015"/>
    <w:rsid w:val="002A11C7"/>
    <w:rsid w:val="004056DF"/>
    <w:rsid w:val="00450217"/>
    <w:rsid w:val="005B22C8"/>
    <w:rsid w:val="005B3B50"/>
    <w:rsid w:val="005D039A"/>
    <w:rsid w:val="005F04EE"/>
    <w:rsid w:val="005F6D6B"/>
    <w:rsid w:val="00604702"/>
    <w:rsid w:val="006B1A25"/>
    <w:rsid w:val="00772BD1"/>
    <w:rsid w:val="007D6420"/>
    <w:rsid w:val="00807C66"/>
    <w:rsid w:val="0084379C"/>
    <w:rsid w:val="00954F70"/>
    <w:rsid w:val="009A6BA3"/>
    <w:rsid w:val="00A257C2"/>
    <w:rsid w:val="00A4075D"/>
    <w:rsid w:val="00A62DAA"/>
    <w:rsid w:val="00AD0CCC"/>
    <w:rsid w:val="00B30D92"/>
    <w:rsid w:val="00B67D18"/>
    <w:rsid w:val="00B75C10"/>
    <w:rsid w:val="00BE353D"/>
    <w:rsid w:val="00C11CF9"/>
    <w:rsid w:val="00C37A12"/>
    <w:rsid w:val="00C44362"/>
    <w:rsid w:val="00C76842"/>
    <w:rsid w:val="00CB5BD1"/>
    <w:rsid w:val="00CD2FD2"/>
    <w:rsid w:val="00D00168"/>
    <w:rsid w:val="00D43BCC"/>
    <w:rsid w:val="00DA7B74"/>
    <w:rsid w:val="00DC2BF9"/>
    <w:rsid w:val="00E047BE"/>
    <w:rsid w:val="00E73D81"/>
    <w:rsid w:val="00E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57C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4">
    <w:name w:val="Основной текст Знак"/>
    <w:basedOn w:val="a0"/>
    <w:link w:val="a3"/>
    <w:rsid w:val="00A257C2"/>
    <w:rPr>
      <w:rFonts w:ascii="Garamond" w:eastAsia="Times New Roman" w:hAnsi="Garamond" w:cs="Times New Roman"/>
      <w:szCs w:val="20"/>
    </w:rPr>
  </w:style>
  <w:style w:type="paragraph" w:styleId="a5">
    <w:name w:val="Normal (Web)"/>
    <w:basedOn w:val="a"/>
    <w:rsid w:val="00DA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B7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5B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5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BE"/>
  </w:style>
  <w:style w:type="paragraph" w:styleId="aa">
    <w:name w:val="footer"/>
    <w:basedOn w:val="a"/>
    <w:link w:val="ab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BE"/>
  </w:style>
  <w:style w:type="paragraph" w:styleId="ac">
    <w:name w:val="Balloon Text"/>
    <w:basedOn w:val="a"/>
    <w:link w:val="ad"/>
    <w:uiPriority w:val="99"/>
    <w:semiHidden/>
    <w:unhideWhenUsed/>
    <w:rsid w:val="000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57C2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4">
    <w:name w:val="Основной текст Знак"/>
    <w:basedOn w:val="a0"/>
    <w:link w:val="a3"/>
    <w:rsid w:val="00A257C2"/>
    <w:rPr>
      <w:rFonts w:ascii="Garamond" w:eastAsia="Times New Roman" w:hAnsi="Garamond" w:cs="Times New Roman"/>
      <w:szCs w:val="20"/>
    </w:rPr>
  </w:style>
  <w:style w:type="paragraph" w:styleId="a5">
    <w:name w:val="Normal (Web)"/>
    <w:basedOn w:val="a"/>
    <w:rsid w:val="00DA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B7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5B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5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BE"/>
  </w:style>
  <w:style w:type="paragraph" w:styleId="aa">
    <w:name w:val="footer"/>
    <w:basedOn w:val="a"/>
    <w:link w:val="ab"/>
    <w:uiPriority w:val="99"/>
    <w:unhideWhenUsed/>
    <w:rsid w:val="00E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BE"/>
  </w:style>
  <w:style w:type="paragraph" w:styleId="ac">
    <w:name w:val="Balloon Text"/>
    <w:basedOn w:val="a"/>
    <w:link w:val="ad"/>
    <w:uiPriority w:val="99"/>
    <w:semiHidden/>
    <w:unhideWhenUsed/>
    <w:rsid w:val="000B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0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Nefedova</cp:lastModifiedBy>
  <cp:revision>2</cp:revision>
  <cp:lastPrinted>2016-07-07T07:52:00Z</cp:lastPrinted>
  <dcterms:created xsi:type="dcterms:W3CDTF">2016-07-07T08:10:00Z</dcterms:created>
  <dcterms:modified xsi:type="dcterms:W3CDTF">2016-07-07T08:10:00Z</dcterms:modified>
</cp:coreProperties>
</file>