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2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t xml:space="preserve"> (1</w:t>
            </w:r>
            <w:r>
              <w:rPr>
                <w:rFonts w:hint="default"/>
                <w:lang w:val="ru-RU"/>
              </w:rPr>
              <w:t xml:space="preserve">0 </w:t>
            </w:r>
            <w:r>
              <w:t>– постановлений Кабинета Министров Республики, Татарстан (далее – ПКМ РТ),</w:t>
            </w:r>
          </w:p>
          <w:p>
            <w:pPr>
              <w:spacing w:before="30" w:after="30"/>
              <w:jc w:val="center"/>
            </w:pPr>
            <w:r>
              <w:rPr>
                <w:rFonts w:hint="default"/>
                <w:lang w:val="ru-RU"/>
              </w:rPr>
              <w:t>18</w:t>
            </w:r>
            <w:r>
              <w:t xml:space="preserve"> – приказ</w:t>
            </w:r>
            <w:r>
              <w:rPr>
                <w:lang w:val="ru-RU"/>
              </w:rPr>
              <w:t>ы</w:t>
            </w:r>
            <w:r>
              <w:t xml:space="preserve"> Министерства образования и науки Республики Татарстан (далее – приказ МОиН РТ).</w:t>
            </w:r>
          </w:p>
          <w:p>
            <w:pPr>
              <w:spacing w:before="30" w:after="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 w:type="textWrapping"/>
            </w:r>
            <w:r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t xml:space="preserve"> (1</w:t>
            </w:r>
            <w:r>
              <w:rPr>
                <w:rFonts w:hint="default"/>
                <w:lang w:val="ru-RU"/>
              </w:rPr>
              <w:t>0</w:t>
            </w:r>
            <w:r>
              <w:t xml:space="preserve"> –ПКМ РТ,</w:t>
            </w:r>
          </w:p>
          <w:p>
            <w:pPr>
              <w:spacing w:before="30" w:after="30"/>
              <w:jc w:val="center"/>
            </w:pPr>
            <w:r>
              <w:rPr>
                <w:rFonts w:hint="default"/>
                <w:lang w:val="ru-RU"/>
              </w:rPr>
              <w:t>18</w:t>
            </w:r>
            <w:r>
              <w:t xml:space="preserve"> – приказ</w:t>
            </w:r>
            <w:r>
              <w:rPr>
                <w:lang w:val="ru-RU"/>
              </w:rPr>
              <w:t>ы</w:t>
            </w:r>
            <w:r>
              <w:t xml:space="preserve"> МОиН РТ).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</w:tbl>
    <w:p>
      <w:pPr>
        <w:jc w:val="center"/>
      </w:pPr>
    </w:p>
    <w:sectPr>
      <w:headerReference r:id="rId5" w:type="default"/>
      <w:headerReference r:id="rId6" w:type="even"/>
      <w:pgSz w:w="16838" w:h="11906" w:orient="landscape"/>
      <w:pgMar w:top="1134" w:right="567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46E97"/>
    <w:rsid w:val="00092AEE"/>
    <w:rsid w:val="000C37FF"/>
    <w:rsid w:val="00117D03"/>
    <w:rsid w:val="001B0B8E"/>
    <w:rsid w:val="003141EA"/>
    <w:rsid w:val="004A4390"/>
    <w:rsid w:val="004F2AE7"/>
    <w:rsid w:val="005121C8"/>
    <w:rsid w:val="00694470"/>
    <w:rsid w:val="00753233"/>
    <w:rsid w:val="00956C2F"/>
    <w:rsid w:val="00B40853"/>
    <w:rsid w:val="00B421AF"/>
    <w:rsid w:val="00BD177D"/>
    <w:rsid w:val="00CE4F53"/>
    <w:rsid w:val="00DD00E1"/>
    <w:rsid w:val="00E3038E"/>
    <w:rsid w:val="00EC1506"/>
    <w:rsid w:val="00F2167D"/>
    <w:rsid w:val="00F24A9D"/>
    <w:rsid w:val="3E4572E3"/>
    <w:rsid w:val="566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header"/>
    <w:basedOn w:val="1"/>
    <w:link w:val="7"/>
    <w:uiPriority w:val="0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1754</Characters>
  <Lines>14</Lines>
  <Paragraphs>4</Paragraphs>
  <TotalTime>147</TotalTime>
  <ScaleCrop>false</ScaleCrop>
  <LinksUpToDate>false</LinksUpToDate>
  <CharactersWithSpaces>2057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cp:lastModifiedBy>Ilya Lazarev</cp:lastModifiedBy>
  <dcterms:modified xsi:type="dcterms:W3CDTF">2022-09-29T07:11:14Z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E1C6FB5D4DF647B094887239C143E1CA</vt:lpwstr>
  </property>
</Properties>
</file>