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ФОРМА № 2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2409"/>
        <w:gridCol w:w="992"/>
        <w:gridCol w:w="3260"/>
        <w:gridCol w:w="3260"/>
        <w:gridCol w:w="3969"/>
        <w:gridCol w:w="1006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3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№</w:t>
            </w:r>
            <w:r>
              <w:rPr>
                <w:rStyle w:val="695"/>
              </w:rPr>
            </w:r>
          </w:p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п</w:t>
            </w:r>
            <w:r>
              <w:rPr>
                <w:rStyle w:val="695"/>
              </w:rPr>
              <w:t xml:space="preserve">/п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Фамилия, имя, отчество или организационно-правовая форма и полное наименование независимого эксперта, подготовившего заключение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Дата подготов-ки заключе-ний</w:t>
            </w:r>
            <w:r>
              <w:rPr>
                <w:rStyle w:val="695"/>
                <w:vertAlign w:val="superscript"/>
              </w:rPr>
              <w:t xml:space="preserve">1</w:t>
            </w:r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Наименование </w:t>
            </w:r>
            <w:r>
              <w:rPr>
                <w:rStyle w:val="695"/>
              </w:rPr>
              <w:t xml:space="preserve">НПА или проекта НПА</w:t>
            </w:r>
            <w:r>
              <w:rPr>
                <w:rStyle w:val="695"/>
              </w:rPr>
              <w:t xml:space="preserve"> субъекта Российской Федерации</w:t>
            </w:r>
            <w:r>
              <w:rPr>
                <w:rStyle w:val="695"/>
              </w:rPr>
            </w:r>
          </w:p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/>
            <w:r>
              <w:rPr>
                <w:rStyle w:val="695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  <w:vertAlign w:val="superscript"/>
              </w:rPr>
            </w:pPr>
            <w:r>
              <w:rPr>
                <w:rStyle w:val="695"/>
              </w:rPr>
              <w:t xml:space="preserve">Коррупциогенные факторы, которые были выявлены в ходе независимой антикоррупционной экспертизы</w:t>
            </w:r>
            <w:r>
              <w:rPr>
                <w:rStyle w:val="695"/>
                <w:vertAlign w:val="superscript"/>
              </w:rPr>
              <w:t xml:space="preserve">2</w:t>
            </w:r>
            <w:r>
              <w:rPr>
                <w:rStyle w:val="695"/>
                <w:vertAlign w:val="superscript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69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  <w:vertAlign w:val="superscript"/>
              </w:rPr>
            </w:pPr>
            <w:r>
              <w:rPr>
                <w:rStyle w:val="695"/>
              </w:rPr>
              <w:t xml:space="preserve">Результаты рассмотрения заключения </w:t>
            </w:r>
            <w:r>
              <w:rPr>
                <w:rStyle w:val="695"/>
              </w:rPr>
              <w:t xml:space="preserve">независимой</w:t>
            </w:r>
            <w:r>
              <w:rPr>
                <w:rStyle w:val="695"/>
              </w:rPr>
              <w:t xml:space="preserve"> антикоррупционной экспертизы</w:t>
            </w:r>
            <w:r>
              <w:rPr>
                <w:rStyle w:val="695"/>
                <w:vertAlign w:val="superscript"/>
              </w:rPr>
              <w:t xml:space="preserve">3</w:t>
            </w:r>
            <w:r>
              <w:rPr>
                <w:rStyle w:val="695"/>
                <w:vertAlign w:val="superscript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06" w:type="dxa"/>
            <w:textDirection w:val="lrTb"/>
            <w:noWrap w:val="false"/>
          </w:tcPr>
          <w:p>
            <w:pPr>
              <w:pStyle w:val="692"/>
              <w:jc w:val="center"/>
              <w:spacing w:line="240" w:lineRule="auto"/>
              <w:widowControl/>
              <w:rPr>
                <w:rStyle w:val="695"/>
              </w:rPr>
            </w:pPr>
            <w:r>
              <w:rPr>
                <w:rStyle w:val="695"/>
              </w:rPr>
              <w:t xml:space="preserve">Исходящий номер и дата ответа, направленного независимому эксперту</w:t>
            </w:r>
            <w:r>
              <w:rPr>
                <w:rStyle w:val="695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3" w:type="dxa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Хурматуллина Алсу Махмутовна</w:t>
            </w:r>
            <w:r>
              <w:rPr>
                <w:sz w:val="24"/>
                <w:szCs w:val="24"/>
              </w:rPr>
              <w:t xml:space="preserve"> – аккредитов</w:t>
            </w:r>
            <w:r>
              <w:rPr>
                <w:sz w:val="24"/>
                <w:szCs w:val="24"/>
              </w:rPr>
              <w:t xml:space="preserve">анная распоряжением Министерства юстиции Российской Федерации от 01.02.2024 г. № 122-р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Проект приказа Министерства образования и науки Республики Татарс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тан «Об утверждении Порядка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781 Бюджетного кодекса Российской Федерации»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Кор</w:t>
            </w:r>
            <w:r>
              <w:rPr>
                <w:color w:val="000000" w:themeColor="text1"/>
                <w:sz w:val="24"/>
                <w:szCs w:val="24"/>
              </w:rPr>
              <w:t xml:space="preserve">рупциогенный фактор: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широта дискреционных полномочий - </w:t>
            </w:r>
            <w:r>
              <w:rPr>
                <w:sz w:val="24"/>
                <w:szCs w:val="24"/>
              </w:rPr>
              <w:t xml:space="preserve">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  <w:r>
              <w:rPr>
                <w:color w:val="000000" w:themeColor="text1"/>
                <w:sz w:val="24"/>
                <w:szCs w:val="24"/>
              </w:rPr>
              <w:t xml:space="preserve"> (подпункт «а» пункта 3 </w:t>
            </w:r>
            <w:r>
              <w:rPr>
                <w:color w:val="000000" w:themeColor="text1"/>
                <w:sz w:val="24"/>
                <w:szCs w:val="24"/>
              </w:rPr>
              <w:t xml:space="preserve">Методики </w:t>
            </w:r>
            <w:r>
              <w:rPr>
                <w:color w:val="000000" w:themeColor="text1"/>
                <w:sz w:val="24"/>
                <w:szCs w:val="24"/>
              </w:rPr>
              <w:t xml:space="preserve">проведения антикоррупционной экспертизы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и проектов нормативных правовых актов, утвержденной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Постановлением Правительства Российской Федерации №96 от 26 февраля 2010 г. «Об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антикоррупционной экспертизе нормативных правовых актов и проектов нормативных </w:t>
            </w:r>
            <w:r>
              <w:rPr>
                <w:color w:val="000000" w:themeColor="text1"/>
                <w:sz w:val="24"/>
                <w:szCs w:val="24"/>
              </w:rPr>
              <w:t xml:space="preserve">правовых актов» (далее - Методика)</w:t>
            </w: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);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определение компетенции по формуле «вправе»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(подпункт «б» пункта 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Методики).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69" w:type="dxa"/>
            <w:textDirection w:val="lrTb"/>
            <w:noWrap w:val="false"/>
          </w:tcPr>
          <w:p>
            <w:pPr>
              <w:pStyle w:val="687"/>
              <w:ind w:firstLine="0"/>
              <w:jc w:val="both"/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Право главного распорядителя бюджетных средств устанавливать в соглашении формы представления 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ями</w:t>
            </w:r>
            <w:r>
              <w:rPr>
                <w:color w:val="000000" w:themeColor="text1"/>
                <w:sz w:val="24"/>
                <w:szCs w:val="24"/>
              </w:rPr>
              <w:t xml:space="preserve"> дополнительной отчетности и сроки их представления установлено пунктом 6 Общих требований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</w:t>
            </w:r>
            <w:r>
              <w:rPr>
                <w:color w:val="000000" w:themeColor="text1"/>
                <w:sz w:val="24"/>
                <w:szCs w:val="24"/>
              </w:rPr>
              <w:t xml:space="preserve">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цели».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687"/>
              <w:ind w:firstLine="0"/>
              <w:jc w:val="both"/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Следовательно, диспозитивное установление возможности совершения учредителем данного действия в отношении 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color w:val="000000" w:themeColor="text1"/>
                <w:sz w:val="24"/>
                <w:szCs w:val="24"/>
              </w:rPr>
              <w:t xml:space="preserve"> установлено в вышестоящем нормативно-правовом акте федерального уровня.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06" w:type="dxa"/>
            <w:textDirection w:val="lrTb"/>
            <w:noWrap w:val="false"/>
          </w:tcPr>
          <w:p>
            <w:pPr>
              <w:pStyle w:val="691"/>
              <w:jc w:val="left"/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01.08.2025 № </w:t>
            </w:r>
            <w:r>
              <w:rPr>
                <w:color w:val="000000" w:themeColor="text1"/>
                <w:sz w:val="24"/>
                <w:szCs w:val="24"/>
              </w:rPr>
              <w:t xml:space="preserve">Х-4977/25-1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Хурматуллина Алсу Махмутовна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аккредитов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анная распоряжением Министерства юстиции Российской Федерации от 01.02.2024 г. № 122-р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Проект постановления Кабинета Министров Республики Татарстан «Об утверждении Порядка предоставления субсидии некоммерческой организации в целях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оведения отбора научных проектов научных сотрудников и/или научных групп научных и образовательных организаций, предприятий реального сектора экономики, в том числе участвующих в работе научно-образовательного центра мирового уровня в Республике Татарстан»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Коррупциогенный фактор: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юридико-лингвистическая неопределенность - употребление неустоявшихся, двусмысленных терминов и категорий оценочного характера (подпункт «в» пункта 4 Методики);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проектируемом подпункте  5.5.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Порядка предоставления субсидии,  использованные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формулировки  аналогичны пункту 40 Правил отбора получателей субсидий, в том числе грантов в форме субсидий, предоставляемых из 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 1781.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проектируемом абзаце девятом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пункта 7.1.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Порядка предоставления субсидии, единый термин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«высокотехнологичное оборудование» не представляется возможным установить, так как к такому типу может относиться разный тип, вид оборудования, в том числе в зависимости от отраслевой принадлежности и потребности экономики в конкретный период. В частности,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ритерии для отнесения оборудования к «высокотехнологичному» в сфере образования и науки определены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риказом Министерства образования и науки Российской Федерации от 1 ноября 2012 года № 881 «Об утверждении критериев отнесения товаров, работ, услуг к инновационной и высокотехнологичной продукции для целей формирования плана закупки такой продукции».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Одновременном с этим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Президента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7 июля 2011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определены приоритетные науки, технологии и техники. В этой связи, учитывая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урегулированность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федеральном уровне подхода к относимости оборудования к категории высокотехнологичного оборудования, и в целях исключения дублирования в региональном нормативном акте положений федеральных норм, термин высокотехнологичное оборудование не раскрывается.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этом используемое слово «импортное» является простым и общеупотребимым указанием на товар зарубежного производителя.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№ Х-5188/25-1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Хурматуллина Алсу Махмутовна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аккредитов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анная распоряжением Министерства юстиции Российской Федерации от 01.02.2024 г. № 122-р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Проект постановления Кабинета Министров Республики Татарстан «Об утверждении Порядка предоставления в 2025 году гранта в форме субсидии образовательным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691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подпункт «в» пункта 3 Методики);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или неполнота административных процедур - отсутств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«ж» пункта 3 Методики);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анным  замечанием к пункту 6.10 Порядка предоставления гранта, следует согласиться в части увеличения количест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 запросов с двух до пяти. В части же полной отмены ограничения по количеству возможных запросов о разъяснении положений объявления о проведении отбора со стороны участников отбора согласиться не представляется возможным ввиду того, что такое количественн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ое ограничение установлено пунктом 46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производителям товаров, работ, услуг, утвержденных постановлением Правительства Российской Федерации от 25 октября 2023 г. № 1781, а именно – не более 5 запросов.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ительно абзаца первого пункта 8.2. Порядка предоставления гранта, сообщаем, что использованные в нем формулировки аналогичны абзацу второму пункта 4 Общих требований к нормативным прав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г. № 1782.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3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этой связи по итогам поступившего заключения Министерство планирует внесение изменений в проект постановления 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бинета Министров Республики Татарстан, а именно в пункт 6.10 Порядка предоставления гранта в форме субсидии, утверждаемого проектом постановления, в части увеличения количества запросов о разъяснении положений объявления о проведении отбора с двух до пяти.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08.08.2025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Х-5332/25-1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spacing w:line="240" w:lineRule="auto"/>
        <w:widowControl/>
        <w:rPr>
          <w:rStyle w:val="694"/>
        </w:rPr>
      </w:pPr>
      <w:r>
        <w:rPr>
          <w:rStyle w:val="694"/>
          <w:vertAlign w:val="superscript"/>
        </w:rPr>
        <w:t xml:space="preserve">1</w:t>
      </w:r>
      <w:r>
        <w:rPr>
          <w:rStyle w:val="694"/>
        </w:rPr>
        <w:t xml:space="preserve"> Копия заключения обязательно должна прилагаться к данной таблице.</w:t>
      </w:r>
      <w:r>
        <w:rPr>
          <w:rStyle w:val="694"/>
        </w:rPr>
      </w:r>
    </w:p>
    <w:p>
      <w:pPr>
        <w:pStyle w:val="693"/>
        <w:ind w:firstLine="0"/>
        <w:jc w:val="both"/>
        <w:spacing w:line="240" w:lineRule="auto"/>
        <w:widowControl/>
        <w:rPr>
          <w:rStyle w:val="694"/>
        </w:rPr>
      </w:pPr>
      <w:r>
        <w:rPr>
          <w:rStyle w:val="694"/>
          <w:vertAlign w:val="superscript"/>
        </w:rPr>
        <w:t xml:space="preserve">2</w:t>
      </w:r>
      <w:r>
        <w:rPr>
          <w:rStyle w:val="694"/>
          <w:vertAlign w:val="superscript"/>
        </w:rPr>
        <w:t xml:space="preserve"> </w:t>
      </w:r>
      <w:r>
        <w:rPr>
          <w:rStyle w:val="69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r>
        <w:rPr>
          <w:rStyle w:val="694"/>
        </w:rPr>
        <w:t xml:space="preserve">2010 </w:t>
      </w:r>
      <w:r>
        <w:rPr>
          <w:rStyle w:val="695"/>
        </w:rPr>
        <w:t xml:space="preserve">г</w:t>
      </w:r>
      <w:r>
        <w:rPr>
          <w:rStyle w:val="695"/>
        </w:rPr>
        <w:t xml:space="preserve">. №</w:t>
      </w:r>
      <w:r>
        <w:rPr>
          <w:rStyle w:val="695"/>
        </w:rPr>
        <w:t xml:space="preserve"> </w:t>
      </w:r>
      <w:r>
        <w:rPr>
          <w:rStyle w:val="694"/>
        </w:rPr>
        <w:t xml:space="preserve">96</w:t>
      </w:r>
      <w:r>
        <w:rPr>
          <w:rStyle w:val="694"/>
        </w:rPr>
      </w:r>
    </w:p>
    <w:p>
      <w:r>
        <w:rPr>
          <w:rStyle w:val="694"/>
          <w:vertAlign w:val="superscript"/>
        </w:rPr>
        <w:t xml:space="preserve">3</w:t>
      </w:r>
      <w:r>
        <w:rPr>
          <w:rStyle w:val="694"/>
          <w:vertAlign w:val="superscript"/>
        </w:rPr>
        <w:t xml:space="preserve"> </w:t>
      </w:r>
      <w:r>
        <w:rPr>
          <w:rStyle w:val="694"/>
        </w:rPr>
        <w:t xml:space="preserve">В</w:t>
      </w:r>
      <w:r>
        <w:rPr>
          <w:rStyle w:val="694"/>
        </w:rPr>
        <w:t xml:space="preserve"> данной графе указывается, что высказанные в заключении замечания учтены, не учтены или учтены частично. </w:t>
      </w:r>
      <w:r/>
    </w:p>
    <w:p>
      <w:r/>
      <w:bookmarkStart w:id="0" w:name="_GoBack"/>
      <w:r/>
      <w:bookmarkEnd w:id="0"/>
      <w:r/>
      <w:r/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1134" w:right="567" w:bottom="1134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8"/>
      </w:rPr>
      <w:framePr w:wrap="around" w:vAnchor="text" w:hAnchor="margin" w:xAlign="center" w:y="1"/>
    </w:pPr>
    <w:r>
      <w:rPr>
        <w:rStyle w:val="698"/>
      </w:rPr>
      <w:fldChar w:fldCharType="begin"/>
    </w:r>
    <w:r>
      <w:rPr>
        <w:rStyle w:val="698"/>
      </w:rPr>
      <w:instrText xml:space="preserve">PAGE  </w:instrText>
    </w:r>
    <w:r>
      <w:rPr>
        <w:rStyle w:val="698"/>
      </w:rPr>
      <w:fldChar w:fldCharType="separate"/>
    </w:r>
    <w:r>
      <w:rPr>
        <w:rStyle w:val="698"/>
      </w:rPr>
      <w:t xml:space="preserve">2</w:t>
    </w:r>
    <w:r>
      <w:rPr>
        <w:rStyle w:val="698"/>
      </w:rPr>
      <w:fldChar w:fldCharType="end"/>
    </w:r>
    <w:r>
      <w:rPr>
        <w:rStyle w:val="698"/>
      </w:rPr>
    </w:r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8"/>
      </w:rPr>
      <w:framePr w:wrap="around" w:vAnchor="text" w:hAnchor="margin" w:xAlign="center" w:y="1"/>
    </w:pPr>
    <w:r>
      <w:rPr>
        <w:rStyle w:val="698"/>
      </w:rPr>
      <w:fldChar w:fldCharType="begin"/>
    </w:r>
    <w:r>
      <w:rPr>
        <w:rStyle w:val="698"/>
      </w:rPr>
      <w:instrText xml:space="preserve">PAGE  </w:instrText>
    </w:r>
    <w:r>
      <w:rPr>
        <w:rStyle w:val="698"/>
      </w:rPr>
      <w:fldChar w:fldCharType="end"/>
    </w:r>
    <w:r>
      <w:rPr>
        <w:rStyle w:val="698"/>
      </w:rPr>
    </w:r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6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 w:customStyle="1">
    <w:name w:val="Style2"/>
    <w:basedOn w:val="687"/>
    <w:uiPriority w:val="99"/>
  </w:style>
  <w:style w:type="paragraph" w:styleId="692" w:customStyle="1">
    <w:name w:val="Style3"/>
    <w:basedOn w:val="687"/>
    <w:uiPriority w:val="99"/>
    <w:pPr>
      <w:spacing w:line="256" w:lineRule="exact"/>
    </w:pPr>
  </w:style>
  <w:style w:type="paragraph" w:styleId="693" w:customStyle="1">
    <w:name w:val="Style4"/>
    <w:basedOn w:val="687"/>
    <w:uiPriority w:val="99"/>
    <w:pPr>
      <w:ind w:firstLine="701"/>
      <w:spacing w:line="223" w:lineRule="exact"/>
    </w:pPr>
  </w:style>
  <w:style w:type="character" w:styleId="694" w:customStyle="1">
    <w:name w:val="Font Style14"/>
    <w:basedOn w:val="688"/>
    <w:uiPriority w:val="99"/>
    <w:rPr>
      <w:rFonts w:ascii="Times New Roman" w:hAnsi="Times New Roman" w:cs="Times New Roman"/>
      <w:sz w:val="18"/>
      <w:szCs w:val="18"/>
    </w:rPr>
  </w:style>
  <w:style w:type="character" w:styleId="695" w:customStyle="1">
    <w:name w:val="Font Style15"/>
    <w:basedOn w:val="688"/>
    <w:uiPriority w:val="99"/>
    <w:rPr>
      <w:rFonts w:ascii="Times New Roman" w:hAnsi="Times New Roman" w:cs="Times New Roman"/>
      <w:sz w:val="20"/>
      <w:szCs w:val="20"/>
    </w:rPr>
  </w:style>
  <w:style w:type="paragraph" w:styleId="696">
    <w:name w:val="Header"/>
    <w:basedOn w:val="687"/>
    <w:link w:val="697"/>
    <w:uiPriority w:val="99"/>
    <w:pPr>
      <w:tabs>
        <w:tab w:val="center" w:pos="4677" w:leader="none"/>
        <w:tab w:val="right" w:pos="9355" w:leader="none"/>
      </w:tabs>
    </w:pPr>
  </w:style>
  <w:style w:type="character" w:styleId="697" w:customStyle="1">
    <w:name w:val="Верхний колонтитул Знак"/>
    <w:basedOn w:val="688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8">
    <w:name w:val="page number"/>
    <w:basedOn w:val="688"/>
    <w:uiPriority w:val="99"/>
    <w:rPr>
      <w:rFonts w:cs="Times New Roman"/>
    </w:rPr>
  </w:style>
  <w:style w:type="table" w:styleId="699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0">
    <w:name w:val="List Paragraph"/>
    <w:basedOn w:val="687"/>
    <w:uiPriority w:val="34"/>
    <w:qFormat/>
    <w:pPr>
      <w:contextualSpacing/>
      <w:ind w:left="720"/>
    </w:pPr>
  </w:style>
  <w:style w:type="paragraph" w:styleId="1_2663" w:customStyle="1">
    <w:name w:val="Normal (Web)"/>
    <w:basedOn w:val="66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revision>4</cp:revision>
  <dcterms:created xsi:type="dcterms:W3CDTF">2022-01-14T12:04:00Z</dcterms:created>
  <dcterms:modified xsi:type="dcterms:W3CDTF">2025-10-01T14:34:10Z</dcterms:modified>
</cp:coreProperties>
</file>