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Отчет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о проведении антикоррупционной и независимой антикоррупционной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 нормативных правовых актов и проектов нормативных правовых актов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32"/>
        <w:gridCol w:w="3620"/>
      </w:tblGrid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lang w:val="ru-RU" w:bidi="ar-SA"/>
              </w:rPr>
              <w:t xml:space="preserve">антикоррупционной экспертизы </w:t>
            </w:r>
            <w:r>
              <w:rPr>
                <w:b/>
                <w:kern w:val="0"/>
                <w:sz w:val="28"/>
                <w:lang w:val="ru-RU" w:bidi="ar-SA"/>
              </w:rPr>
              <w:t>юридическим отделом Министерства образования и науки Республики Татарстан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1.1. Количество проектов нормативных правовых актов, разработанных  в отчетном квартале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Министерством образования и науки Республики Татарстан (далее — Министерство)  в отчетном квартале разработано 45</w:t>
            </w:r>
            <w:r>
              <w:rPr>
                <w:kern w:val="0"/>
                <w:lang w:val="ru-RU" w:bidi="ar-SA"/>
              </w:rPr>
              <w:t xml:space="preserve"> проектов нормативных правовых актов.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 xml:space="preserve">Приказы Министерства  – 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Республики Татарстан – 2</w:t>
            </w:r>
            <w:r>
              <w:rPr>
                <w:sz w:val="24"/>
                <w:szCs w:val="24"/>
              </w:rPr>
              <w:t>3.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567" w:right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567" w:right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1.2.2.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2410" w:right="3861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юридическим отделом Министерства образования и науки Республики Татарстан</w:t>
            </w:r>
            <w:r>
              <w:rPr>
                <w:kern w:val="0"/>
                <w:lang w:val="ru-RU" w:bidi="ar-SA"/>
              </w:rP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567" w:right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1.3.1. Количество нормативных правовых актов, в которых выявлены коррупциогенные факторы</w:t>
              <w:br/>
              <w:t>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567" w:right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1.3.2. Количество выявленных коррупциогенных факторов, всего: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0" w:right="3861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535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8"/>
                <w:lang w:val="en-US" w:bidi="ar-SA"/>
              </w:rPr>
              <w:t>II</w:t>
            </w:r>
            <w:r>
              <w:rPr>
                <w:kern w:val="0"/>
                <w:sz w:val="28"/>
                <w:lang w:val="ru-RU" w:bidi="ar-SA"/>
              </w:rPr>
              <w:t>. Сведения о проведении</w:t>
            </w:r>
            <w:r>
              <w:rPr>
                <w:b/>
                <w:kern w:val="0"/>
                <w:sz w:val="28"/>
                <w:lang w:val="ru-RU" w:bidi="ar-SA"/>
              </w:rPr>
              <w:t xml:space="preserve"> независимой</w:t>
            </w:r>
            <w:r>
              <w:rPr>
                <w:kern w:val="0"/>
                <w:sz w:val="28"/>
                <w:lang w:val="ru-RU" w:bidi="ar-SA"/>
              </w:rPr>
              <w:t xml:space="preserve"> антикоррупционной экспертизы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 xml:space="preserve">Приказы Министерства  – 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4"/>
                <w:szCs w:val="24"/>
              </w:rPr>
              <w:t>постановления Кабинета Министров Республики Татарстан – 2</w:t>
            </w:r>
            <w:r>
              <w:rPr>
                <w:sz w:val="24"/>
                <w:szCs w:val="24"/>
              </w:rPr>
              <w:t>3.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2.3. Количество коррупциогенных факторов, указанных в заключениях </w:t>
            </w:r>
            <w:r>
              <w:rPr>
                <w:b/>
                <w:kern w:val="0"/>
                <w:lang w:val="ru-RU" w:bidi="ar-SA"/>
              </w:rPr>
              <w:t>независимой</w:t>
            </w:r>
            <w:r>
              <w:rPr>
                <w:kern w:val="0"/>
                <w:lang w:val="ru-RU" w:bidi="ar-SA"/>
              </w:rPr>
              <w:t xml:space="preserve"> антикоррупционной экспертизы, всего:</w:t>
            </w:r>
            <w:bookmarkStart w:id="0" w:name="_GoBack"/>
            <w:bookmarkEnd w:id="0"/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0" w:right="3861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по видам коррупциогенных факторов: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  <w:tr>
        <w:trPr/>
        <w:tc>
          <w:tcPr>
            <w:tcW w:w="11732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ind w:hanging="0" w:left="0" w:right="3861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них признанные разработчиком обоснованными:</w:t>
            </w:r>
          </w:p>
        </w:tc>
        <w:tc>
          <w:tcPr>
            <w:tcW w:w="3620" w:type="dxa"/>
            <w:tcBorders/>
          </w:tcPr>
          <w:p>
            <w:pPr>
              <w:pStyle w:val="Normal"/>
              <w:widowControl w:val="false"/>
              <w:suppressAutoHyphens w:val="true"/>
              <w:spacing w:before="30" w:after="3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75.35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6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f2167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f2167d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f216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0c37ff"/>
    <w:pPr>
      <w:spacing w:before="0" w:after="0"/>
      <w:ind w:hanging="0" w:left="720"/>
      <w:contextualSpacing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LibreOffice/25.2.3.2$Linux_X86_64 LibreOffice_project/520$Build-2</Application>
  <AppVersion>15.0000</AppVersion>
  <Pages>2</Pages>
  <Words>283</Words>
  <Characters>2084</Characters>
  <CharactersWithSpaces>2343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2021-12-27T11:41:00Z</dcterms:created>
  <dc:creator>Kazanceva</dc:creator>
  <dc:description/>
  <dc:language>ru-RU</dc:language>
  <cp:lastModifiedBy/>
  <dcterms:modified xsi:type="dcterms:W3CDTF">2026-04-02T15:14:54Z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