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6"/>
        <w:widowControl w:val="off"/>
        <w:spacing w:after="0" w:line="240" w:lineRule="auto"/>
        <w:ind w:left="10206"/>
        <w:contextualSpacing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</w:r>
      <w:r>
        <w:rPr>
          <w:rFonts w:ascii="Times New Roman" w:hAnsi="Times New Roman"/>
          <w:bCs/>
          <w:sz w:val="28"/>
          <w:szCs w:val="24"/>
        </w:rPr>
      </w:r>
      <w:r>
        <w:rPr>
          <w:rFonts w:ascii="Times New Roman" w:hAnsi="Times New Roman"/>
          <w:bCs/>
          <w:sz w:val="28"/>
          <w:szCs w:val="24"/>
        </w:rPr>
      </w:r>
    </w:p>
    <w:p>
      <w:pPr>
        <w:pStyle w:val="976"/>
        <w:widowControl w:val="off"/>
        <w:spacing w:after="0" w:line="240" w:lineRule="auto"/>
        <w:ind w:left="10206"/>
        <w:contextualSpacing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</w:r>
      <w:r>
        <w:rPr>
          <w:rFonts w:ascii="Times New Roman" w:hAnsi="Times New Roman"/>
          <w:bCs/>
          <w:sz w:val="28"/>
          <w:szCs w:val="24"/>
        </w:rPr>
      </w:r>
      <w:r>
        <w:rPr>
          <w:rFonts w:ascii="Times New Roman" w:hAnsi="Times New Roman"/>
          <w:bCs/>
          <w:sz w:val="28"/>
          <w:szCs w:val="24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40" w:lineRule="auto"/>
        <w:ind w:right="49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33" w:lineRule="auto"/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изменении типа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государственного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бюджетно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</w:rPr>
        <w:t xml:space="preserve"> «Альметьевский государственный технологический университет «Высшая школа нефти»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33" w:lineRule="auto"/>
        <w:ind w:right="-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33" w:lineRule="auto"/>
        <w:ind w:right="-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tabs>
          <w:tab w:val="left" w:pos="1134" w:leader="none"/>
          <w:tab w:val="left" w:pos="9214" w:leader="none"/>
        </w:tabs>
        <w:spacing w:after="0"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</w:t>
      </w:r>
      <w:r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tabs>
          <w:tab w:val="left" w:pos="1134" w:leader="none"/>
          <w:tab w:val="left" w:pos="9214" w:leader="none"/>
        </w:tabs>
        <w:spacing w:after="0"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7"/>
        <w:numPr>
          <w:numId w:val="46"/>
          <w:ilvl w:val="0"/>
        </w:numPr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ринять предложение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 изменении типа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госуд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арственного бюджетного образова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ого учреждения высшего образова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«Альметьевский государственный технологический университет «Высшая школа нефти»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государственное автономное образовательное учреждение высшего образования «Альметьевский государственный технологический университет «Высшая школа нефти» (далее – Учреждение).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17"/>
        <w:numPr>
          <w:numId w:val="46"/>
          <w:ilvl w:val="0"/>
        </w:numPr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Министерству образования и науки Республики Татарстан: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осуществлять функции и полномочия учредителя Учреждения;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30-дневный срок представить в Министерство земельных и имущественных отношений Республики Татарстан перечень имущества Учреждения;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ежегодно утверждать государственное задание учредителя для Учреждения;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0-дневный срок внести изменения в Устав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госуд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арственного бюджетного образова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тельн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ого учреждения высшего образова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«Альметьевский государственный технологический университет «Высшая школа нефти»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 Установить, что финансовое обеспечение выполнения государственного задания Учреждением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осуществляется в соответствии с 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31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.12.2015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1044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пределах средств, предусмотренных в законе Республики Татарстан о бюджете Республики Татарстан на соответствующий финансовый год на указанные цели.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совместно с Министерством образования и науки Республики Татарстан в 60-дневный срок после выполнения пунк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 2 насто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ящего постановления разработать и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 в части их приведения в соответствие с пунктом 1 настоящего постановлен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17"/>
        <w:tabs>
          <w:tab w:val="left" w:pos="992" w:leader="none"/>
        </w:tabs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Министерство образования и науки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76"/>
        <w:widowControl w:val="off"/>
        <w:tabs>
          <w:tab w:val="left" w:pos="993" w:leader="none"/>
        </w:tabs>
        <w:spacing w:after="0" w:line="233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33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33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off"/>
        <w:spacing w:after="0" w:line="233" w:lineRule="auto"/>
        <w:ind w:right="-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А.В.</w:t>
      </w:r>
      <w:r>
        <w:rPr>
          <w:rFonts w:ascii="Times New Roman" w:hAnsi="Times New Roman"/>
          <w:sz w:val="28"/>
          <w:szCs w:val="28"/>
        </w:rPr>
        <w:t xml:space="preserve">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134" w:header="510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 CYR">
    <w:panose1 w:val="02020603050405020304"/>
  </w:font>
  <w:font w:name="Sendnya">
    <w:panose1 w:val="02000603000000000000"/>
  </w:font>
  <w:font w:name="Century Gothic">
    <w:panose1 w:val="020B0603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PAGE   \* MERGEFORMAT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  <w:lang w:val="ru-RU"/>
      </w:rPr>
      <w:t xml:space="preserve"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</w:r>
    <w:r>
      <w:rPr>
        <w:rFonts w:ascii="Times New Roman" w:hAnsi="Times New Roman" w:cs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tabs>
          <w:tab w:val="num" w:pos="0" w:leader="none"/>
        </w:tabs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108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800" w:hanging="360"/>
      </w:pPr>
      <w:rPr>
        <w:rFonts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520" w:hanging="36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tabs>
          <w:tab w:val="num" w:pos="2880" w:leader="none"/>
        </w:tabs>
        <w:ind w:left="3240" w:hanging="36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tabs>
          <w:tab w:val="num" w:pos="3600" w:leader="none"/>
        </w:tabs>
        <w:ind w:left="3960" w:hanging="36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tabs>
          <w:tab w:val="num" w:pos="4320" w:leader="none"/>
        </w:tabs>
        <w:ind w:left="4680" w:hanging="360"/>
      </w:pPr>
      <w:rPr>
        <w:rFonts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400" w:hanging="36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tabs>
          <w:tab w:val="num" w:pos="5760" w:leader="none"/>
        </w:tabs>
        <w:ind w:left="612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7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37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103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37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9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3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97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57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7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37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103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37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9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3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97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57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201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5"/>
  </w:num>
  <w:num w:numId="5">
    <w:abstractNumId w:val="11"/>
  </w:num>
  <w:num w:numId="6">
    <w:abstractNumId w:val="40"/>
  </w:num>
  <w:num w:numId="7">
    <w:abstractNumId w:val="28"/>
  </w:num>
  <w:num w:numId="8">
    <w:abstractNumId w:val="36"/>
  </w:num>
  <w:num w:numId="9">
    <w:abstractNumId w:val="33"/>
  </w:num>
  <w:num w:numId="10">
    <w:abstractNumId w:val="17"/>
  </w:num>
  <w:num w:numId="11">
    <w:abstractNumId w:val="18"/>
  </w:num>
  <w:num w:numId="12">
    <w:abstractNumId w:val="21"/>
  </w:num>
  <w:num w:numId="13">
    <w:abstractNumId w:val="19"/>
  </w:num>
  <w:num w:numId="14">
    <w:abstractNumId w:val="10"/>
  </w:num>
  <w:num w:numId="15">
    <w:abstractNumId w:val="30"/>
  </w:num>
  <w:num w:numId="16">
    <w:abstractNumId w:val="26"/>
  </w:num>
  <w:num w:numId="17">
    <w:abstractNumId w:val="38"/>
  </w:num>
  <w:num w:numId="18">
    <w:abstractNumId w:val="14"/>
  </w:num>
  <w:num w:numId="19">
    <w:abstractNumId w:val="4"/>
  </w:num>
  <w:num w:numId="20">
    <w:abstractNumId w:val="39"/>
  </w:num>
  <w:num w:numId="21">
    <w:abstractNumId w:val="23"/>
  </w:num>
  <w:num w:numId="22">
    <w:abstractNumId w:val="35"/>
  </w:num>
  <w:num w:numId="23">
    <w:abstractNumId w:val="29"/>
  </w:num>
  <w:num w:numId="24">
    <w:abstractNumId w:val="8"/>
  </w:num>
  <w:num w:numId="25">
    <w:abstractNumId w:val="3"/>
  </w:num>
  <w:num w:numId="26">
    <w:abstractNumId w:val="1"/>
  </w:num>
  <w:num w:numId="27">
    <w:abstractNumId w:val="34"/>
  </w:num>
  <w:num w:numId="28">
    <w:abstractNumId w:val="32"/>
  </w:num>
  <w:num w:numId="29">
    <w:abstractNumId w:val="41"/>
  </w:num>
  <w:num w:numId="30">
    <w:abstractNumId w:val="27"/>
  </w:num>
  <w:num w:numId="31">
    <w:abstractNumId w:val="31"/>
  </w:num>
  <w:num w:numId="32">
    <w:abstractNumId w:val="37"/>
  </w:num>
  <w:num w:numId="33">
    <w:abstractNumId w:val="12"/>
  </w:num>
  <w:num w:numId="34">
    <w:abstractNumId w:val="13"/>
  </w:num>
  <w:num w:numId="35">
    <w:abstractNumId w:val="6"/>
  </w:num>
  <w:num w:numId="36">
    <w:abstractNumId w:val="2"/>
  </w:num>
  <w:num w:numId="37">
    <w:abstractNumId w:val="20"/>
  </w:num>
  <w:num w:numId="38">
    <w:abstractNumId w:val="9"/>
  </w:num>
  <w:num w:numId="39">
    <w:abstractNumId w:val="22"/>
  </w:num>
  <w:num w:numId="40">
    <w:abstractNumId w:val="0"/>
  </w:num>
  <w:num w:numId="41">
    <w:abstractNumId w:val="24"/>
  </w:num>
  <w:num w:numId="42">
    <w:abstractNumId w:val="7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>
    <w:name w:val="Heading 1"/>
    <w:basedOn w:val="976"/>
    <w:next w:val="976"/>
    <w:link w:val="79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9">
    <w:name w:val="Heading 1 Char"/>
    <w:link w:val="798"/>
    <w:uiPriority w:val="9"/>
    <w:rPr>
      <w:rFonts w:ascii="Arial" w:hAnsi="Arial" w:eastAsia="Arial" w:cs="Arial"/>
      <w:sz w:val="40"/>
      <w:szCs w:val="40"/>
    </w:rPr>
  </w:style>
  <w:style w:type="paragraph" w:styleId="800">
    <w:name w:val="Heading 2"/>
    <w:basedOn w:val="976"/>
    <w:next w:val="976"/>
    <w:link w:val="8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1">
    <w:name w:val="Heading 2 Char"/>
    <w:link w:val="800"/>
    <w:uiPriority w:val="9"/>
    <w:rPr>
      <w:rFonts w:ascii="Arial" w:hAnsi="Arial" w:eastAsia="Arial" w:cs="Arial"/>
      <w:sz w:val="34"/>
    </w:rPr>
  </w:style>
  <w:style w:type="paragraph" w:styleId="802">
    <w:name w:val="Heading 3"/>
    <w:basedOn w:val="976"/>
    <w:next w:val="976"/>
    <w:link w:val="80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3">
    <w:name w:val="Heading 3 Char"/>
    <w:link w:val="802"/>
    <w:uiPriority w:val="9"/>
    <w:rPr>
      <w:rFonts w:ascii="Arial" w:hAnsi="Arial" w:eastAsia="Arial" w:cs="Arial"/>
      <w:sz w:val="30"/>
      <w:szCs w:val="30"/>
    </w:rPr>
  </w:style>
  <w:style w:type="paragraph" w:styleId="804">
    <w:name w:val="Heading 4"/>
    <w:basedOn w:val="976"/>
    <w:next w:val="976"/>
    <w:link w:val="80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5">
    <w:name w:val="Heading 4 Char"/>
    <w:link w:val="804"/>
    <w:uiPriority w:val="9"/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976"/>
    <w:next w:val="976"/>
    <w:link w:val="8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7">
    <w:name w:val="Heading 5 Char"/>
    <w:link w:val="806"/>
    <w:uiPriority w:val="9"/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976"/>
    <w:next w:val="976"/>
    <w:link w:val="80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9">
    <w:name w:val="Heading 6 Char"/>
    <w:link w:val="808"/>
    <w:uiPriority w:val="9"/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976"/>
    <w:next w:val="976"/>
    <w:link w:val="81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>
    <w:name w:val="Heading 7 Char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976"/>
    <w:next w:val="976"/>
    <w:link w:val="8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3">
    <w:name w:val="Heading 8 Char"/>
    <w:link w:val="812"/>
    <w:uiPriority w:val="9"/>
    <w:rPr>
      <w:rFonts w:ascii="Arial" w:hAnsi="Arial" w:eastAsia="Arial" w:cs="Arial"/>
      <w:i/>
      <w:iCs/>
      <w:sz w:val="22"/>
      <w:szCs w:val="22"/>
    </w:rPr>
  </w:style>
  <w:style w:type="paragraph" w:styleId="814">
    <w:name w:val="Heading 9"/>
    <w:basedOn w:val="976"/>
    <w:next w:val="976"/>
    <w:link w:val="81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5">
    <w:name w:val="Heading 9 Char"/>
    <w:link w:val="814"/>
    <w:uiPriority w:val="9"/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basedOn w:val="976"/>
    <w:uiPriority w:val="34"/>
    <w:qFormat/>
    <w:pPr>
      <w:ind w:left="720"/>
      <w:contextualSpacing/>
    </w:pPr>
  </w:style>
  <w:style w:type="paragraph" w:styleId="817">
    <w:name w:val="No Spacing"/>
    <w:uiPriority w:val="1"/>
    <w:qFormat/>
    <w:pPr>
      <w:spacing w:before="0" w:after="0" w:line="240" w:lineRule="auto"/>
    </w:pPr>
  </w:style>
  <w:style w:type="paragraph" w:styleId="818">
    <w:name w:val="Title"/>
    <w:basedOn w:val="976"/>
    <w:next w:val="976"/>
    <w:link w:val="81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19">
    <w:name w:val="Title Char"/>
    <w:link w:val="818"/>
    <w:uiPriority w:val="10"/>
    <w:rPr>
      <w:sz w:val="48"/>
      <w:szCs w:val="48"/>
    </w:rPr>
  </w:style>
  <w:style w:type="paragraph" w:styleId="820">
    <w:name w:val="Subtitle"/>
    <w:basedOn w:val="976"/>
    <w:next w:val="976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>
    <w:name w:val="Subtitle Char"/>
    <w:link w:val="820"/>
    <w:uiPriority w:val="11"/>
    <w:rPr>
      <w:sz w:val="24"/>
      <w:szCs w:val="24"/>
    </w:rPr>
  </w:style>
  <w:style w:type="paragraph" w:styleId="822">
    <w:name w:val="Quote"/>
    <w:basedOn w:val="976"/>
    <w:next w:val="976"/>
    <w:link w:val="823"/>
    <w:uiPriority w:val="29"/>
    <w:qFormat/>
    <w:pPr>
      <w:ind w:left="720" w:right="720"/>
    </w:pPr>
    <w:rPr>
      <w:i/>
    </w:rPr>
  </w:style>
  <w:style w:type="character" w:styleId="823">
    <w:name w:val="Quote Char"/>
    <w:link w:val="822"/>
    <w:uiPriority w:val="29"/>
    <w:rPr>
      <w:i/>
    </w:rPr>
  </w:style>
  <w:style w:type="paragraph" w:styleId="824">
    <w:name w:val="Intense Quote"/>
    <w:basedOn w:val="976"/>
    <w:next w:val="976"/>
    <w:link w:val="8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25">
    <w:name w:val="Intense Quote Char"/>
    <w:link w:val="824"/>
    <w:uiPriority w:val="30"/>
    <w:rPr>
      <w:i/>
    </w:rPr>
  </w:style>
  <w:style w:type="paragraph" w:styleId="826">
    <w:name w:val="Header"/>
    <w:basedOn w:val="976"/>
    <w:link w:val="8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27">
    <w:name w:val="Header Char"/>
    <w:link w:val="826"/>
    <w:uiPriority w:val="99"/>
  </w:style>
  <w:style w:type="paragraph" w:styleId="828">
    <w:name w:val="Footer"/>
    <w:basedOn w:val="976"/>
    <w:link w:val="83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29">
    <w:name w:val="Footer Char"/>
    <w:link w:val="828"/>
    <w:uiPriority w:val="99"/>
  </w:style>
  <w:style w:type="paragraph" w:styleId="830">
    <w:name w:val="Caption"/>
    <w:basedOn w:val="976"/>
    <w:next w:val="9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1">
    <w:name w:val="Caption Char"/>
    <w:basedOn w:val="830"/>
    <w:link w:val="828"/>
    <w:uiPriority w:val="99"/>
  </w:style>
  <w:style w:type="table" w:styleId="8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8">
    <w:name w:val="Hyperlink"/>
    <w:uiPriority w:val="99"/>
    <w:unhideWhenUsed/>
    <w:rPr>
      <w:color w:val="0000ff" w:themeColor="hyperlink"/>
      <w:u w:val="single"/>
    </w:rPr>
  </w:style>
  <w:style w:type="paragraph" w:styleId="959">
    <w:name w:val="footnote text"/>
    <w:basedOn w:val="976"/>
    <w:link w:val="960"/>
    <w:uiPriority w:val="99"/>
    <w:semiHidden/>
    <w:unhideWhenUsed/>
    <w:pPr>
      <w:spacing w:after="40" w:line="240" w:lineRule="auto"/>
    </w:pPr>
    <w:rPr>
      <w:sz w:val="18"/>
    </w:rPr>
  </w:style>
  <w:style w:type="character" w:styleId="960">
    <w:name w:val="Footnote Text Char"/>
    <w:link w:val="959"/>
    <w:uiPriority w:val="99"/>
    <w:rPr>
      <w:sz w:val="18"/>
    </w:rPr>
  </w:style>
  <w:style w:type="character" w:styleId="961">
    <w:name w:val="footnote reference"/>
    <w:uiPriority w:val="99"/>
    <w:unhideWhenUsed/>
    <w:rPr>
      <w:vertAlign w:val="superscript"/>
    </w:rPr>
  </w:style>
  <w:style w:type="paragraph" w:styleId="962">
    <w:name w:val="endnote text"/>
    <w:basedOn w:val="976"/>
    <w:link w:val="963"/>
    <w:uiPriority w:val="99"/>
    <w:semiHidden/>
    <w:unhideWhenUsed/>
    <w:pPr>
      <w:spacing w:after="0" w:line="240" w:lineRule="auto"/>
    </w:pPr>
    <w:rPr>
      <w:sz w:val="20"/>
    </w:rPr>
  </w:style>
  <w:style w:type="character" w:styleId="963">
    <w:name w:val="Endnote Text Char"/>
    <w:link w:val="962"/>
    <w:uiPriority w:val="99"/>
    <w:rPr>
      <w:sz w:val="20"/>
    </w:rPr>
  </w:style>
  <w:style w:type="character" w:styleId="964">
    <w:name w:val="endnote reference"/>
    <w:uiPriority w:val="99"/>
    <w:semiHidden/>
    <w:unhideWhenUsed/>
    <w:rPr>
      <w:vertAlign w:val="superscript"/>
    </w:rPr>
  </w:style>
  <w:style w:type="paragraph" w:styleId="965">
    <w:name w:val="toc 1"/>
    <w:basedOn w:val="976"/>
    <w:next w:val="976"/>
    <w:uiPriority w:val="39"/>
    <w:unhideWhenUsed/>
    <w:pPr>
      <w:spacing w:after="57"/>
      <w:ind w:left="0" w:right="0" w:firstLine="0"/>
    </w:pPr>
  </w:style>
  <w:style w:type="paragraph" w:styleId="966">
    <w:name w:val="toc 2"/>
    <w:basedOn w:val="976"/>
    <w:next w:val="976"/>
    <w:uiPriority w:val="39"/>
    <w:unhideWhenUsed/>
    <w:pPr>
      <w:spacing w:after="57"/>
      <w:ind w:left="283" w:right="0" w:firstLine="0"/>
    </w:pPr>
  </w:style>
  <w:style w:type="paragraph" w:styleId="967">
    <w:name w:val="toc 3"/>
    <w:basedOn w:val="976"/>
    <w:next w:val="976"/>
    <w:uiPriority w:val="39"/>
    <w:unhideWhenUsed/>
    <w:pPr>
      <w:spacing w:after="57"/>
      <w:ind w:left="567" w:right="0" w:firstLine="0"/>
    </w:pPr>
  </w:style>
  <w:style w:type="paragraph" w:styleId="968">
    <w:name w:val="toc 4"/>
    <w:basedOn w:val="976"/>
    <w:next w:val="976"/>
    <w:uiPriority w:val="39"/>
    <w:unhideWhenUsed/>
    <w:pPr>
      <w:spacing w:after="57"/>
      <w:ind w:left="850" w:right="0" w:firstLine="0"/>
    </w:pPr>
  </w:style>
  <w:style w:type="paragraph" w:styleId="969">
    <w:name w:val="toc 5"/>
    <w:basedOn w:val="976"/>
    <w:next w:val="976"/>
    <w:uiPriority w:val="39"/>
    <w:unhideWhenUsed/>
    <w:pPr>
      <w:spacing w:after="57"/>
      <w:ind w:left="1134" w:right="0" w:firstLine="0"/>
    </w:pPr>
  </w:style>
  <w:style w:type="paragraph" w:styleId="970">
    <w:name w:val="toc 6"/>
    <w:basedOn w:val="976"/>
    <w:next w:val="976"/>
    <w:uiPriority w:val="39"/>
    <w:unhideWhenUsed/>
    <w:pPr>
      <w:spacing w:after="57"/>
      <w:ind w:left="1417" w:right="0" w:firstLine="0"/>
    </w:pPr>
  </w:style>
  <w:style w:type="paragraph" w:styleId="971">
    <w:name w:val="toc 7"/>
    <w:basedOn w:val="976"/>
    <w:next w:val="976"/>
    <w:uiPriority w:val="39"/>
    <w:unhideWhenUsed/>
    <w:pPr>
      <w:spacing w:after="57"/>
      <w:ind w:left="1701" w:right="0" w:firstLine="0"/>
    </w:pPr>
  </w:style>
  <w:style w:type="paragraph" w:styleId="972">
    <w:name w:val="toc 8"/>
    <w:basedOn w:val="976"/>
    <w:next w:val="976"/>
    <w:uiPriority w:val="39"/>
    <w:unhideWhenUsed/>
    <w:pPr>
      <w:spacing w:after="57"/>
      <w:ind w:left="1984" w:right="0" w:firstLine="0"/>
    </w:pPr>
  </w:style>
  <w:style w:type="paragraph" w:styleId="973">
    <w:name w:val="toc 9"/>
    <w:basedOn w:val="976"/>
    <w:next w:val="976"/>
    <w:uiPriority w:val="39"/>
    <w:unhideWhenUsed/>
    <w:pPr>
      <w:spacing w:after="57"/>
      <w:ind w:left="2268" w:right="0" w:firstLine="0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976"/>
    <w:next w:val="976"/>
    <w:uiPriority w:val="99"/>
    <w:unhideWhenUsed/>
    <w:pPr>
      <w:spacing w:after="0" w:afterAutospacing="0"/>
    </w:pPr>
  </w:style>
  <w:style w:type="paragraph" w:styleId="976" w:default="1">
    <w:name w:val="Normal"/>
    <w:next w:val="976"/>
    <w:link w:val="97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77">
    <w:name w:val="Основной шрифт абзаца"/>
    <w:next w:val="977"/>
    <w:link w:val="976"/>
    <w:uiPriority w:val="1"/>
    <w:unhideWhenUsed/>
  </w:style>
  <w:style w:type="table" w:styleId="978">
    <w:name w:val="Обычная таблица"/>
    <w:next w:val="978"/>
    <w:link w:val="976"/>
    <w:uiPriority w:val="99"/>
    <w:semiHidden/>
    <w:unhideWhenUsed/>
    <w:tblPr/>
  </w:style>
  <w:style w:type="numbering" w:styleId="979">
    <w:name w:val="Нет списка"/>
    <w:next w:val="979"/>
    <w:link w:val="976"/>
    <w:uiPriority w:val="99"/>
    <w:semiHidden/>
    <w:unhideWhenUsed/>
  </w:style>
  <w:style w:type="paragraph" w:styleId="980">
    <w:name w:val="Без интервала"/>
    <w:next w:val="980"/>
    <w:link w:val="976"/>
    <w:uiPriority w:val="1"/>
    <w:qFormat/>
    <w:rPr>
      <w:sz w:val="22"/>
      <w:szCs w:val="22"/>
      <w:lang w:val="ru-RU" w:eastAsia="en-US" w:bidi="ar-SA"/>
    </w:rPr>
  </w:style>
  <w:style w:type="table" w:styleId="981">
    <w:name w:val="Сетка таблицы"/>
    <w:basedOn w:val="978"/>
    <w:next w:val="981"/>
    <w:link w:val="97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numbering" w:styleId="982">
    <w:name w:val="Нет списка1"/>
    <w:next w:val="979"/>
    <w:link w:val="976"/>
    <w:uiPriority w:val="99"/>
    <w:semiHidden/>
    <w:unhideWhenUsed/>
  </w:style>
  <w:style w:type="paragraph" w:styleId="983">
    <w:name w:val="Цветной список — акцент 11"/>
    <w:basedOn w:val="976"/>
    <w:next w:val="983"/>
    <w:link w:val="976"/>
    <w:uiPriority w:val="34"/>
    <w:qFormat/>
    <w:pPr>
      <w:ind w:left="720"/>
      <w:contextualSpacing/>
    </w:pPr>
  </w:style>
  <w:style w:type="table" w:styleId="984">
    <w:name w:val="Сетка таблицы1"/>
    <w:basedOn w:val="978"/>
    <w:next w:val="981"/>
    <w:link w:val="976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character" w:styleId="985">
    <w:name w:val="apple-converted-space"/>
    <w:basedOn w:val="977"/>
    <w:next w:val="985"/>
    <w:link w:val="976"/>
  </w:style>
  <w:style w:type="paragraph" w:styleId="986">
    <w:name w:val="ConsPlusNormal"/>
    <w:next w:val="986"/>
    <w:link w:val="976"/>
    <w:pPr>
      <w:widowControl w:val="off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87">
    <w:name w:val="Default"/>
    <w:next w:val="987"/>
    <w:link w:val="976"/>
    <w:rPr>
      <w:rFonts w:ascii="Century Gothic" w:hAnsi="Century Gothic" w:cs="Century Gothic"/>
      <w:color w:val="000000"/>
      <w:sz w:val="24"/>
      <w:szCs w:val="24"/>
      <w:lang w:val="ru-RU" w:eastAsia="en-US" w:bidi="ar-SA"/>
    </w:rPr>
  </w:style>
  <w:style w:type="paragraph" w:styleId="988">
    <w:name w:val="Прижатый влево"/>
    <w:basedOn w:val="976"/>
    <w:next w:val="976"/>
    <w:link w:val="976"/>
    <w:uiPriority w:val="99"/>
    <w:pPr>
      <w:widowControl w:val="off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989">
    <w:name w:val="Знак примечания"/>
    <w:next w:val="989"/>
    <w:link w:val="976"/>
    <w:uiPriority w:val="99"/>
    <w:semiHidden/>
    <w:unhideWhenUsed/>
    <w:rPr>
      <w:sz w:val="16"/>
      <w:szCs w:val="16"/>
    </w:rPr>
  </w:style>
  <w:style w:type="paragraph" w:styleId="990">
    <w:name w:val="Текст примечания"/>
    <w:basedOn w:val="976"/>
    <w:next w:val="990"/>
    <w:link w:val="991"/>
    <w:uiPriority w:val="99"/>
    <w:unhideWhenUsed/>
    <w:pPr>
      <w:spacing w:line="240" w:lineRule="auto"/>
    </w:pPr>
    <w:rPr>
      <w:rFonts w:cs="Sendnya"/>
      <w:sz w:val="20"/>
      <w:szCs w:val="20"/>
      <w:lang w:val="en-US" w:eastAsia="en-US" w:bidi="or-IN"/>
    </w:rPr>
  </w:style>
  <w:style w:type="character" w:styleId="991">
    <w:name w:val="Текст примечания Знак"/>
    <w:next w:val="991"/>
    <w:link w:val="990"/>
    <w:uiPriority w:val="99"/>
    <w:rPr>
      <w:rFonts w:ascii="Calibri" w:hAnsi="Calibri" w:eastAsia="Calibri" w:cs="Times New Roman"/>
      <w:sz w:val="20"/>
      <w:szCs w:val="20"/>
      <w:lang w:val="en-US" w:eastAsia="en-US"/>
    </w:rPr>
  </w:style>
  <w:style w:type="paragraph" w:styleId="992">
    <w:name w:val="Тема примечания"/>
    <w:basedOn w:val="990"/>
    <w:next w:val="990"/>
    <w:link w:val="993"/>
    <w:uiPriority w:val="99"/>
    <w:semiHidden/>
    <w:unhideWhenUsed/>
    <w:rPr>
      <w:b/>
      <w:bCs/>
    </w:rPr>
  </w:style>
  <w:style w:type="character" w:styleId="993">
    <w:name w:val="Тема примечания Знак"/>
    <w:next w:val="993"/>
    <w:link w:val="992"/>
    <w:uiPriority w:val="99"/>
    <w:semiHidden/>
    <w:rPr>
      <w:rFonts w:ascii="Calibri" w:hAnsi="Calibri" w:eastAsia="Calibri" w:cs="Times New Roman"/>
      <w:b/>
      <w:bCs/>
      <w:sz w:val="20"/>
      <w:szCs w:val="20"/>
      <w:lang w:val="en-US" w:eastAsia="en-US"/>
    </w:rPr>
  </w:style>
  <w:style w:type="paragraph" w:styleId="994">
    <w:name w:val="Текст выноски"/>
    <w:basedOn w:val="976"/>
    <w:next w:val="994"/>
    <w:link w:val="995"/>
    <w:uiPriority w:val="99"/>
    <w:semiHidden/>
    <w:unhideWhenUsed/>
    <w:pPr>
      <w:spacing w:after="0" w:line="240" w:lineRule="auto"/>
    </w:pPr>
    <w:rPr>
      <w:rFonts w:ascii="Tahoma" w:hAnsi="Tahoma" w:cs="Sendnya"/>
      <w:sz w:val="16"/>
      <w:szCs w:val="16"/>
      <w:lang w:val="en-US" w:eastAsia="en-US" w:bidi="or-IN"/>
    </w:rPr>
  </w:style>
  <w:style w:type="character" w:styleId="995">
    <w:name w:val="Текст выноски Знак"/>
    <w:next w:val="995"/>
    <w:link w:val="994"/>
    <w:uiPriority w:val="99"/>
    <w:semiHidden/>
    <w:rPr>
      <w:rFonts w:ascii="Tahoma" w:hAnsi="Tahoma" w:eastAsia="Calibri" w:cs="Times New Roman"/>
      <w:sz w:val="16"/>
      <w:szCs w:val="16"/>
      <w:lang w:val="en-US" w:eastAsia="en-US"/>
    </w:rPr>
  </w:style>
  <w:style w:type="paragraph" w:styleId="996">
    <w:name w:val="Верхний колонтитул"/>
    <w:basedOn w:val="976"/>
    <w:next w:val="996"/>
    <w:link w:val="997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cs="Sendnya"/>
      <w:sz w:val="20"/>
      <w:szCs w:val="20"/>
      <w:lang w:val="en-US" w:eastAsia="en-US" w:bidi="or-IN"/>
    </w:rPr>
  </w:style>
  <w:style w:type="character" w:styleId="997">
    <w:name w:val="Верхний колонтитул Знак"/>
    <w:next w:val="997"/>
    <w:link w:val="996"/>
    <w:uiPriority w:val="99"/>
    <w:rPr>
      <w:rFonts w:ascii="Calibri" w:hAnsi="Calibri" w:eastAsia="Calibri" w:cs="Times New Roman"/>
    </w:rPr>
  </w:style>
  <w:style w:type="paragraph" w:styleId="998">
    <w:name w:val="Нижний колонтитул"/>
    <w:basedOn w:val="976"/>
    <w:next w:val="998"/>
    <w:link w:val="99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cs="Sendnya"/>
      <w:sz w:val="20"/>
      <w:szCs w:val="20"/>
      <w:lang w:val="en-US" w:eastAsia="en-US" w:bidi="or-IN"/>
    </w:rPr>
  </w:style>
  <w:style w:type="character" w:styleId="999">
    <w:name w:val="Нижний колонтитул Знак"/>
    <w:next w:val="999"/>
    <w:link w:val="998"/>
    <w:uiPriority w:val="99"/>
    <w:rPr>
      <w:rFonts w:ascii="Calibri" w:hAnsi="Calibri" w:eastAsia="Calibri" w:cs="Times New Roman"/>
    </w:rPr>
  </w:style>
  <w:style w:type="paragraph" w:styleId="1000">
    <w:name w:val="Обычный (веб)"/>
    <w:basedOn w:val="976"/>
    <w:next w:val="1000"/>
    <w:link w:val="97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1">
    <w:name w:val="Сильное выделение"/>
    <w:next w:val="1001"/>
    <w:link w:val="976"/>
    <w:uiPriority w:val="21"/>
    <w:qFormat/>
    <w:rPr>
      <w:b/>
      <w:bCs/>
      <w:i/>
      <w:iCs/>
      <w:color w:val="4f81bd"/>
    </w:rPr>
  </w:style>
  <w:style w:type="paragraph" w:styleId="1002">
    <w:name w:val="Текст сноски"/>
    <w:basedOn w:val="976"/>
    <w:next w:val="1002"/>
    <w:link w:val="1003"/>
    <w:uiPriority w:val="99"/>
    <w:semiHidden/>
    <w:unhideWhenUsed/>
    <w:rPr>
      <w:sz w:val="20"/>
      <w:szCs w:val="20"/>
    </w:rPr>
  </w:style>
  <w:style w:type="character" w:styleId="1003">
    <w:name w:val="Текст сноски Знак"/>
    <w:next w:val="1003"/>
    <w:link w:val="1002"/>
    <w:uiPriority w:val="99"/>
    <w:semiHidden/>
    <w:rPr>
      <w:lang w:eastAsia="en-US"/>
    </w:rPr>
  </w:style>
  <w:style w:type="character" w:styleId="1004">
    <w:name w:val="Знак сноски"/>
    <w:next w:val="1004"/>
    <w:link w:val="976"/>
    <w:uiPriority w:val="99"/>
    <w:semiHidden/>
    <w:unhideWhenUsed/>
    <w:rPr>
      <w:vertAlign w:val="superscript"/>
    </w:rPr>
  </w:style>
  <w:style w:type="character" w:styleId="1005">
    <w:name w:val="Цветовое выделение"/>
    <w:next w:val="1005"/>
    <w:link w:val="976"/>
    <w:uiPriority w:val="99"/>
    <w:rPr>
      <w:b/>
      <w:color w:val="26282f"/>
    </w:rPr>
  </w:style>
  <w:style w:type="paragraph" w:styleId="1006">
    <w:name w:val="Нормальный (таблица)"/>
    <w:basedOn w:val="976"/>
    <w:next w:val="976"/>
    <w:link w:val="976"/>
    <w:uiPriority w:val="99"/>
    <w:pPr>
      <w:widowControl w:val="off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table" w:styleId="1007">
    <w:name w:val="Сетка таблицы2"/>
    <w:basedOn w:val="978"/>
    <w:next w:val="981"/>
    <w:link w:val="97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1008">
    <w:name w:val="Абзац списка"/>
    <w:basedOn w:val="976"/>
    <w:next w:val="1008"/>
    <w:link w:val="976"/>
    <w:uiPriority w:val="34"/>
    <w:qFormat/>
    <w:pPr>
      <w:spacing w:after="160" w:line="256" w:lineRule="auto"/>
      <w:ind w:left="720"/>
      <w:contextualSpacing/>
    </w:pPr>
    <w:rPr>
      <w:rFonts w:ascii="Calibri" w:hAnsi="Calibri" w:eastAsia="Calibri" w:cs="Times New Roman"/>
    </w:rPr>
  </w:style>
  <w:style w:type="character" w:styleId="1009">
    <w:name w:val="Гиперссылка"/>
    <w:next w:val="1009"/>
    <w:link w:val="976"/>
    <w:uiPriority w:val="99"/>
    <w:semiHidden/>
    <w:unhideWhenUsed/>
    <w:rPr>
      <w:color w:val="0563c1"/>
      <w:u w:val="single"/>
    </w:rPr>
  </w:style>
  <w:style w:type="character" w:styleId="1010" w:default="1">
    <w:name w:val="Default Paragraph Font"/>
    <w:uiPriority w:val="1"/>
    <w:semiHidden/>
    <w:unhideWhenUsed/>
  </w:style>
  <w:style w:type="numbering" w:styleId="1011" w:default="1">
    <w:name w:val="No List"/>
    <w:uiPriority w:val="99"/>
    <w:semiHidden/>
    <w:unhideWhenUsed/>
  </w:style>
  <w:style w:type="table" w:styleId="10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Мингалеева</dc:creator>
  <cp:revision>9</cp:revision>
  <dcterms:created xsi:type="dcterms:W3CDTF">2024-01-24T07:29:00Z</dcterms:created>
  <dcterms:modified xsi:type="dcterms:W3CDTF">2024-10-07T11:43:28Z</dcterms:modified>
  <cp:version>1048576</cp:version>
</cp:coreProperties>
</file>