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right="5862" w:firstLine="0"/>
        <w:jc w:val="both"/>
        <w:spacing w:before="108" w:after="108"/>
        <w:rPr>
          <w:b w:val="0"/>
          <w:color w:val="auto"/>
          <w:sz w:val="28"/>
          <w:szCs w:val="28"/>
          <w:highlight w:val="white"/>
        </w:rPr>
      </w:pPr>
      <w:r>
        <w:rPr>
          <w:b w:val="0"/>
          <w:color w:val="auto"/>
          <w:sz w:val="28"/>
          <w:szCs w:val="28"/>
          <w:highlight w:val="white"/>
        </w:rPr>
        <w:t xml:space="preserve">Об участии в составе соучредителей Фонда науки и технологий Республики Татарстан</w:t>
      </w:r>
      <w:r>
        <w:rPr>
          <w:b w:val="0"/>
          <w:color w:val="auto"/>
          <w:sz w:val="28"/>
          <w:szCs w:val="28"/>
          <w:highlight w:val="white"/>
        </w:rPr>
      </w:r>
    </w:p>
    <w:p>
      <w:pPr>
        <w:pStyle w:val="655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</w:t>
      </w:r>
      <w:r>
        <w:rPr>
          <w:sz w:val="28"/>
          <w:szCs w:val="28"/>
          <w:highlight w:val="white"/>
          <w:shd w:val="clear" w:color="auto" w:fill="ffffff"/>
        </w:rPr>
        <w:t xml:space="preserve">обеспечения развития и поддержки деятельности </w:t>
      </w:r>
      <w:r>
        <w:rPr>
          <w:sz w:val="28"/>
          <w:szCs w:val="28"/>
          <w:highlight w:val="white"/>
          <w:shd w:val="clear" w:color="auto" w:fill="00ff7f"/>
        </w:rPr>
        <w:t xml:space="preserve">«</w:t>
      </w:r>
      <w:r>
        <w:rPr>
          <w:sz w:val="28"/>
          <w:szCs w:val="28"/>
          <w:highlight w:val="white"/>
          <w:shd w:val="clear" w:color="auto" w:fill="00ff7f"/>
        </w:rPr>
        <w:t xml:space="preserve">Н</w:t>
      </w:r>
      <w:r>
        <w:rPr>
          <w:sz w:val="28"/>
          <w:szCs w:val="28"/>
          <w:highlight w:val="white"/>
          <w:shd w:val="clear" w:color="auto" w:fill="00ff7f"/>
        </w:rPr>
        <w:t xml:space="preserve">аучно- образовательного центра</w:t>
      </w:r>
      <w:r>
        <w:rPr>
          <w:strike w:val="0"/>
          <w:sz w:val="28"/>
          <w:szCs w:val="28"/>
          <w:highlight w:val="white"/>
          <w:shd w:val="clear" w:color="auto" w:fill="00ff7f"/>
        </w:rPr>
        <w:t xml:space="preserve"> мирового уровня</w:t>
      </w:r>
      <w:r>
        <w:rPr>
          <w:sz w:val="28"/>
          <w:szCs w:val="28"/>
          <w:highlight w:val="white"/>
          <w:shd w:val="clear" w:color="auto" w:fill="00ff7f"/>
        </w:rPr>
        <w:t xml:space="preserve"> Республики Татарстан»</w:t>
      </w:r>
      <w:r>
        <w:rPr>
          <w:sz w:val="28"/>
          <w:szCs w:val="28"/>
          <w:highlight w:val="white"/>
          <w:shd w:val="clear" w:color="auto" w:fill="ffffff"/>
        </w:rPr>
        <w:t xml:space="preserve">, поддержки фундаментальных и (или) прикладных научных исследований, опытно-конструкторских работ и (или) опытно-промышленных испытаний, формирования образовательных программ </w:t>
      </w:r>
      <w:r>
        <w:rPr>
          <w:sz w:val="28"/>
          <w:szCs w:val="28"/>
          <w:highlight w:val="white"/>
          <w:shd w:val="clear" w:color="auto" w:fill="00ff7f"/>
        </w:rPr>
        <w:t xml:space="preserve">«</w:t>
      </w:r>
      <w:r>
        <w:rPr>
          <w:sz w:val="28"/>
          <w:szCs w:val="28"/>
          <w:highlight w:val="white"/>
          <w:shd w:val="clear" w:color="auto" w:fill="00ff7f"/>
        </w:rPr>
        <w:t xml:space="preserve">Н</w:t>
      </w:r>
      <w:r>
        <w:rPr>
          <w:sz w:val="28"/>
          <w:szCs w:val="28"/>
          <w:highlight w:val="white"/>
          <w:shd w:val="clear" w:color="auto" w:fill="00ff7f"/>
        </w:rPr>
        <w:t xml:space="preserve">аучно-образовательного центра</w:t>
      </w:r>
      <w:r>
        <w:rPr>
          <w:strike w:val="0"/>
          <w:sz w:val="28"/>
          <w:szCs w:val="28"/>
          <w:highlight w:val="white"/>
          <w:shd w:val="clear" w:color="auto" w:fill="00ff7f"/>
        </w:rPr>
        <w:t xml:space="preserve"> мирового уровня</w:t>
      </w:r>
      <w:r>
        <w:rPr>
          <w:sz w:val="28"/>
          <w:szCs w:val="28"/>
          <w:highlight w:val="white"/>
          <w:shd w:val="clear" w:color="auto" w:fill="00ff7f"/>
        </w:rPr>
        <w:t xml:space="preserve"> Республики Татарстан»</w:t>
      </w:r>
      <w:r>
        <w:rPr>
          <w:sz w:val="28"/>
          <w:szCs w:val="28"/>
          <w:highlight w:val="white"/>
          <w:shd w:val="clear" w:color="auto" w:fill="ffffff"/>
        </w:rPr>
        <w:t xml:space="preserve">, а также поддержки деятельности научно-производственных объединений (консорциумов)</w:t>
      </w:r>
      <w:r>
        <w:rPr>
          <w:sz w:val="28"/>
          <w:szCs w:val="28"/>
          <w:highlight w:val="white"/>
        </w:rPr>
        <w:t xml:space="preserve"> Кабинет Министров Республики Татарстан постановляет: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highlight w:val="white"/>
        </w:rPr>
      </w:r>
      <w:bookmarkStart w:id="0" w:name="sub_1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1. Принять предложение государственного научного бюджетного учреждения «Академия наук Республики Татарстан» о включении в состав соучредителей Фонда науки и технологий Республики Татарстан. 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highlight w:val="white"/>
        </w:rPr>
      </w:r>
      <w:bookmarkStart w:id="1" w:name="sub_1"/>
      <w:r>
        <w:rPr>
          <w:highlight w:val="white"/>
        </w:rPr>
      </w:r>
      <w:bookmarkStart w:id="2" w:name="sub_2"/>
      <w:r>
        <w:rPr>
          <w:highlight w:val="white"/>
        </w:rPr>
      </w:r>
      <w:bookmarkEnd w:id="1"/>
      <w:r>
        <w:rPr>
          <w:sz w:val="28"/>
          <w:szCs w:val="28"/>
          <w:highlight w:val="white"/>
        </w:rPr>
        <w:t xml:space="preserve">2. Министерству образования и науки Республики Татарстан:</w:t>
      </w:r>
      <w:bookmarkEnd w:id="2"/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выступить соучредителем Фонда науки и технологий Республики Татарстан;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осуществлять от имени Республики Татарстан функции и полномочия учредителя Фонда науки и технологий Республики Татарстан в составе других учредителей;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разработать и внести в Кабинет Министров Республики Татарстан в 60-дневный срок порядок предоставления субсидии Фонду науки и технологий Республики Татарстан на финансовое обеспечение (возмещение) расходов </w:t>
      </w:r>
      <w:r>
        <w:rPr>
          <w:sz w:val="28"/>
          <w:szCs w:val="28"/>
          <w:highlight w:val="white"/>
          <w:shd w:val="clear" w:color="auto" w:fill="ffffff"/>
        </w:rPr>
        <w:t xml:space="preserve">по поддержке фундаментальных и (или) прикладных научных исследований, опытно-конструкторских работ</w:t>
      </w:r>
      <w:r>
        <w:rPr>
          <w:strike w:val="0"/>
          <w:sz w:val="28"/>
          <w:szCs w:val="28"/>
          <w:highlight w:val="white"/>
          <w:shd w:val="clear" w:color="auto" w:fill="ffffff"/>
        </w:rPr>
        <w:t xml:space="preserve"> и (или) опытно-промышленных испытаний</w:t>
      </w:r>
      <w:r>
        <w:rPr>
          <w:sz w:val="28"/>
          <w:szCs w:val="28"/>
          <w:highlight w:val="white"/>
          <w:shd w:val="clear" w:color="auto" w:fill="ffffff"/>
        </w:rPr>
        <w:t xml:space="preserve">, формирования образовательных программ </w:t>
      </w:r>
      <w:r>
        <w:rPr>
          <w:sz w:val="28"/>
          <w:szCs w:val="28"/>
          <w:highlight w:val="white"/>
          <w:shd w:val="clear" w:color="auto" w:fill="00ff7f"/>
        </w:rPr>
        <w:t xml:space="preserve">«</w:t>
      </w:r>
      <w:r>
        <w:rPr>
          <w:sz w:val="28"/>
          <w:szCs w:val="28"/>
          <w:highlight w:val="white"/>
          <w:shd w:val="clear" w:color="auto" w:fill="00ff7f"/>
        </w:rPr>
        <w:t xml:space="preserve">Н</w:t>
      </w:r>
      <w:r>
        <w:rPr>
          <w:sz w:val="28"/>
          <w:szCs w:val="28"/>
          <w:highlight w:val="white"/>
          <w:shd w:val="clear" w:color="auto" w:fill="00ff7f"/>
        </w:rPr>
        <w:t xml:space="preserve">аучно-образовательного центра</w:t>
      </w:r>
      <w:r>
        <w:rPr>
          <w:strike w:val="0"/>
          <w:sz w:val="28"/>
          <w:szCs w:val="28"/>
          <w:highlight w:val="white"/>
          <w:shd w:val="clear" w:color="auto" w:fill="00ff7f"/>
        </w:rPr>
        <w:t xml:space="preserve"> мирового уровня</w:t>
      </w:r>
      <w:r>
        <w:rPr>
          <w:sz w:val="28"/>
          <w:szCs w:val="28"/>
          <w:highlight w:val="white"/>
          <w:shd w:val="clear" w:color="auto" w:fill="00ff7f"/>
        </w:rPr>
        <w:t xml:space="preserve"> Республики Татарстан»</w:t>
      </w:r>
      <w:r>
        <w:rPr>
          <w:sz w:val="28"/>
          <w:szCs w:val="28"/>
          <w:highlight w:val="white"/>
          <w:shd w:val="clear" w:color="auto" w:fill="ffffff"/>
        </w:rPr>
        <w:t xml:space="preserve">, а также поддержки деятельности научно-производственных объединений (консорциумов)</w:t>
      </w:r>
      <w:r>
        <w:rPr>
          <w:sz w:val="28"/>
          <w:szCs w:val="28"/>
          <w:highlight w:val="white"/>
        </w:rPr>
        <w:t xml:space="preserve"> в форме имущественного взноса для обеспечения уставной деятельности Фонда науки и технологий Республики Татарстан (далее – субсидия).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Установить, что размер субсидии, предоставляемый Фонду науки и технологий Республики Татарстан в 2025 году за счет средств резервного фонда Кабинета Министров Республики Татарстан, составляет 250 000 000 рублей.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Министерству финансов Республики Татарстан: 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highlight w:val="white"/>
          <w:shd w:val="clear" w:color="auto" w:fill="ffffff"/>
        </w:rPr>
      </w:pPr>
      <w:r>
        <w:rPr>
          <w:highlight w:val="white"/>
        </w:rPr>
      </w:r>
      <w:bookmarkStart w:id="3" w:name="sub_3"/>
      <w:r>
        <w:rPr>
          <w:highlight w:val="white"/>
        </w:rPr>
      </w:r>
      <w:bookmarkEnd w:id="3"/>
      <w:r>
        <w:rPr>
          <w:sz w:val="28"/>
          <w:szCs w:val="28"/>
          <w:highlight w:val="white"/>
          <w:shd w:val="clear" w:color="auto" w:fill="ffffff"/>
        </w:rPr>
        <w:t xml:space="preserve">предусмотреть в бюджете Республики Татарстан на плановый период 2026 и 2027 годов средства на финансовое обе</w:t>
      </w:r>
      <w:r>
        <w:rPr>
          <w:sz w:val="28"/>
          <w:szCs w:val="28"/>
          <w:highlight w:val="white"/>
          <w:shd w:val="clear" w:color="auto" w:fill="ffffff"/>
        </w:rPr>
        <w:t xml:space="preserve">спечение (возмещение) расходов по поддержке фундаментальных и (или) прикладных научных исследований, опытно-конструкторских работ и (или) опытно-промышленных испытаний, формирования образовательных программ научного образовательного центра мирового уровня </w:t>
      </w:r>
      <w:r>
        <w:rPr>
          <w:sz w:val="28"/>
          <w:szCs w:val="28"/>
          <w:highlight w:val="white"/>
          <w:shd w:val="clear" w:color="auto" w:fill="ffffff"/>
        </w:rPr>
        <w:t xml:space="preserve">Республики Татарстан, а также поддержки деятельности научно-производственных объединений (консорциумов) в форме имущественного взноса для обеспечения уставной деятельности Фонда науки и технологий Республики Татарстан в размере 250 000 000 рублей ежегодно;</w:t>
      </w:r>
      <w:r>
        <w:rPr>
          <w:highlight w:val="white"/>
          <w:shd w:val="clear" w:color="auto" w:fill="ffffff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Кабинет Министров Республики Татарстан проекты нормативных актов в целях реализации настоящего постановления.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Рекомендовать Фонду науки и технологий Республики Татарстан осуществить необходимые действия по государственной регистрации изменений в составе учредителей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Контроль за исполнением настоящего постановления возложить на Министерство образования и науки Республики Татарстан.</w:t>
      </w:r>
      <w:r>
        <w:rPr>
          <w:sz w:val="28"/>
          <w:szCs w:val="28"/>
          <w:highlight w:val="white"/>
        </w:rPr>
      </w:r>
    </w:p>
    <w:p>
      <w:pPr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55"/>
        <w:ind w:right="50"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bookmarkStart w:id="5" w:name="sub_3"/>
      <w:r>
        <w:rPr>
          <w:highlight w:val="white"/>
        </w:rPr>
      </w:r>
      <w:bookmarkEnd w:id="5"/>
      <w:r>
        <w:rPr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0" w:type="pct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6618"/>
        <w:gridCol w:w="3310"/>
      </w:tblGrid>
      <w:tr>
        <w:tblPrEx/>
        <w:trPr/>
        <w:tc>
          <w:tcPr>
            <w:tcW w:w="6618" w:type="dxa"/>
            <w:textDirection w:val="lrTb"/>
            <w:noWrap w:val="false"/>
          </w:tcPr>
          <w:p>
            <w:pPr>
              <w:pStyle w:val="670"/>
              <w:ind w:right="50" w:firstLine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Премьер-министр</w:t>
              <w:br/>
              <w:t xml:space="preserve">Республики Татарстан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10" w:type="dxa"/>
            <w:textDirection w:val="lrTb"/>
            <w:noWrap w:val="false"/>
          </w:tcPr>
          <w:p>
            <w:pPr>
              <w:pStyle w:val="669"/>
              <w:ind w:right="50" w:firstLine="0"/>
              <w:jc w:val="right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А.В. Песошин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655"/>
        <w:ind w:right="50" w:firstLine="72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footerReference w:type="default" r:id="rId8"/>
      <w:footnotePr/>
      <w:endnotePr/>
      <w:type w:val="nextPage"/>
      <w:pgSz w:w="11906" w:h="16800" w:orient="portrait"/>
      <w:pgMar w:top="1440" w:right="843" w:bottom="1440" w:left="1134" w:header="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  <w:tblLook w:val="0000" w:firstRow="0" w:lastRow="0" w:firstColumn="0" w:lastColumn="0" w:noHBand="0" w:noVBand="0"/>
    </w:tblPr>
    <w:tblGrid>
      <w:gridCol w:w="3313"/>
      <w:gridCol w:w="3307"/>
      <w:gridCol w:w="3309"/>
    </w:tblGrid>
    <w:tr>
      <w:tblPrEx/>
      <w:trPr/>
      <w:tc>
        <w:tcPr>
          <w:tcW w:w="3313" w:type="dxa"/>
          <w:textDirection w:val="lrTb"/>
          <w:noWrap w:val="false"/>
        </w:tcPr>
        <w:p>
          <w:pPr>
            <w:pStyle w:val="655"/>
            <w:ind w:firstLine="0"/>
            <w:jc w:val="left"/>
            <w:widowControl w:val="off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W w:w="3307" w:type="dxa"/>
          <w:textDirection w:val="lrTb"/>
          <w:noWrap w:val="false"/>
        </w:tcPr>
        <w:p>
          <w:pPr>
            <w:pStyle w:val="655"/>
            <w:ind w:firstLine="0"/>
            <w:jc w:val="center"/>
            <w:widowControl w:val="off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W w:w="3309" w:type="dxa"/>
          <w:textDirection w:val="lrTb"/>
          <w:noWrap w:val="false"/>
        </w:tcPr>
        <w:p>
          <w:pPr>
            <w:pStyle w:val="655"/>
            <w:ind w:firstLine="0"/>
            <w:jc w:val="right"/>
            <w:widowControl w:val="off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72"/>
    <w:uiPriority w:val="99"/>
  </w:style>
  <w:style w:type="character" w:styleId="45">
    <w:name w:val="Footer Char"/>
    <w:basedOn w:val="657"/>
    <w:link w:val="673"/>
    <w:uiPriority w:val="99"/>
  </w:style>
  <w:style w:type="character" w:styleId="47">
    <w:name w:val="Caption Char"/>
    <w:basedOn w:val="667"/>
    <w:link w:val="673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spacing w:before="0" w:after="0" w:line="240" w:lineRule="auto"/>
      <w:widowControl w:val="off"/>
    </w:pPr>
    <w:rPr>
      <w:rFonts w:ascii="Times New Roman CYR" w:hAnsi="Times New Roman CYR" w:cs="Times New Roman CYR" w:eastAsiaTheme="minorEastAsia"/>
      <w:color w:val="auto"/>
      <w:sz w:val="24"/>
      <w:szCs w:val="24"/>
      <w:lang w:val="ru-RU" w:eastAsia="ru-RU" w:bidi="ar-SA"/>
    </w:rPr>
  </w:style>
  <w:style w:type="paragraph" w:styleId="656">
    <w:name w:val="Heading 1"/>
    <w:basedOn w:val="655"/>
    <w:next w:val="655"/>
    <w:link w:val="658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657" w:default="1">
    <w:name w:val="Default Paragraph Font"/>
    <w:uiPriority w:val="1"/>
    <w:semiHidden/>
    <w:unhideWhenUsed/>
    <w:qFormat/>
  </w:style>
  <w:style w:type="character" w:styleId="658" w:customStyle="1">
    <w:name w:val="Заголовок 1 Знак"/>
    <w:basedOn w:val="657"/>
    <w:uiPriority w:val="9"/>
    <w:qFormat/>
    <w:rPr>
      <w:rFonts w:ascii="Cambria" w:hAnsi="Cambria" w:cs="Times New Roman" w:asciiTheme="majorHAnsi" w:hAnsiTheme="majorHAnsi" w:eastAsiaTheme="majorEastAsia"/>
      <w:b/>
      <w:bCs/>
      <w:sz w:val="32"/>
      <w:szCs w:val="32"/>
    </w:rPr>
  </w:style>
  <w:style w:type="character" w:styleId="659" w:customStyle="1">
    <w:name w:val="Цветовое выделение"/>
    <w:uiPriority w:val="99"/>
    <w:qFormat/>
    <w:rPr>
      <w:b/>
      <w:color w:val="26282f"/>
    </w:rPr>
  </w:style>
  <w:style w:type="character" w:styleId="660" w:customStyle="1">
    <w:name w:val="Гипертекстовая ссылка"/>
    <w:basedOn w:val="659"/>
    <w:uiPriority w:val="99"/>
    <w:qFormat/>
    <w:rPr>
      <w:rFonts w:cs="Times New Roman"/>
      <w:b w:val="0"/>
      <w:color w:val="106bbe"/>
    </w:rPr>
  </w:style>
  <w:style w:type="character" w:styleId="661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character" w:styleId="662" w:customStyle="1">
    <w:name w:val="Верхний колонтитул Знак"/>
    <w:basedOn w:val="657"/>
    <w:uiPriority w:val="99"/>
    <w:qFormat/>
    <w:rPr>
      <w:rFonts w:ascii="Times New Roman CYR" w:hAnsi="Times New Roman CYR" w:cs="Times New Roman CYR"/>
      <w:sz w:val="24"/>
      <w:szCs w:val="24"/>
    </w:rPr>
  </w:style>
  <w:style w:type="character" w:styleId="663" w:customStyle="1">
    <w:name w:val="Нижний колонтитул Знак"/>
    <w:basedOn w:val="657"/>
    <w:uiPriority w:val="99"/>
    <w:qFormat/>
    <w:rPr>
      <w:rFonts w:ascii="Times New Roman CYR" w:hAnsi="Times New Roman CYR" w:cs="Times New Roman CYR"/>
      <w:sz w:val="24"/>
      <w:szCs w:val="24"/>
    </w:rPr>
  </w:style>
  <w:style w:type="paragraph" w:styleId="664">
    <w:name w:val="Заголовок"/>
    <w:basedOn w:val="655"/>
    <w:next w:val="66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5">
    <w:name w:val="Body Text"/>
    <w:basedOn w:val="655"/>
    <w:pPr>
      <w:spacing w:before="0" w:after="140" w:line="276" w:lineRule="auto"/>
    </w:pPr>
  </w:style>
  <w:style w:type="paragraph" w:styleId="666">
    <w:name w:val="List"/>
    <w:basedOn w:val="665"/>
    <w:rPr>
      <w:rFonts w:ascii="PT Astra Serif" w:hAnsi="PT Astra Serif" w:cs="Noto Sans Devanagari"/>
    </w:rPr>
  </w:style>
  <w:style w:type="paragraph" w:styleId="667">
    <w:name w:val="Caption"/>
    <w:basedOn w:val="65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68">
    <w:name w:val="Указатель"/>
    <w:basedOn w:val="655"/>
    <w:qFormat/>
    <w:pPr>
      <w:suppressLineNumbers/>
    </w:pPr>
    <w:rPr>
      <w:rFonts w:ascii="PT Astra Serif" w:hAnsi="PT Astra Serif" w:cs="Noto Sans Devanagari"/>
    </w:rPr>
  </w:style>
  <w:style w:type="paragraph" w:styleId="669" w:customStyle="1">
    <w:name w:val="Нормальный (таблица)"/>
    <w:basedOn w:val="655"/>
    <w:next w:val="655"/>
    <w:uiPriority w:val="99"/>
    <w:qFormat/>
    <w:pPr>
      <w:ind w:firstLine="0"/>
    </w:pPr>
  </w:style>
  <w:style w:type="paragraph" w:styleId="670" w:customStyle="1">
    <w:name w:val="Прижатый влево"/>
    <w:basedOn w:val="655"/>
    <w:next w:val="655"/>
    <w:uiPriority w:val="99"/>
    <w:qFormat/>
    <w:pPr>
      <w:ind w:firstLine="0"/>
      <w:jc w:val="left"/>
    </w:pPr>
  </w:style>
  <w:style w:type="paragraph" w:styleId="671">
    <w:name w:val="Колонтитул"/>
    <w:basedOn w:val="655"/>
    <w:qFormat/>
  </w:style>
  <w:style w:type="paragraph" w:styleId="672">
    <w:name w:val="Header"/>
    <w:basedOn w:val="655"/>
    <w:link w:val="66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73">
    <w:name w:val="Footer"/>
    <w:basedOn w:val="655"/>
    <w:link w:val="66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numbering" w:styleId="674" w:default="1">
    <w:name w:val="No List"/>
    <w:uiPriority w:val="99"/>
    <w:semiHidden/>
    <w:unhideWhenUsed/>
    <w:qFormat/>
  </w:style>
  <w:style w:type="table" w:styleId="67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dc:language>ru-RU</dc:language>
  <cp:revision>6</cp:revision>
  <dcterms:created xsi:type="dcterms:W3CDTF">2025-03-03T11:02:00Z</dcterms:created>
  <dcterms:modified xsi:type="dcterms:W3CDTF">2025-03-04T08:57:06Z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