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68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-93994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4" cy="713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8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8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-19.65pt;mso-position-horizontal:absolute;mso-position-vertical-relative:text;margin-top:-7.4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68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8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8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292406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3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99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>
        <w:tblPrEx/>
        <w:trPr>
          <w:trHeight w:val="867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pStyle w:val="688"/>
              <w:ind w:right="-305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688"/>
              <w:ind w:left="57" w:right="57"/>
              <w:jc w:val="center"/>
              <w:spacing w:line="30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88"/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pStyle w:val="688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6249" cy="7708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88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pStyle w:val="688"/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688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688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8244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pStyle w:val="688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pStyle w:val="688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88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88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688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688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/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vAlign w:val="top"/>
            <w:textDirection w:val="lrTb"/>
            <w:noWrap w:val="false"/>
          </w:tcPr>
          <w:p>
            <w:pPr>
              <w:pStyle w:val="688"/>
              <w:ind w:right="57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88"/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57"/>
              <w:jc w:val="center"/>
              <w:spacing w:line="300" w:lineRule="exac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688"/>
              <w:ind w:right="57"/>
              <w:jc w:val="center"/>
              <w:spacing w:line="300" w:lineRule="exac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688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699" cy="175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524288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68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5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1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ind w:right="5244"/>
        <w:jc w:val="both"/>
        <w:spacing w:line="57" w:lineRule="atLeast"/>
        <w:rPr>
          <w:rFonts w:eastAsia="Calibri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rFonts w:eastAsia="Calibri"/>
          <w:sz w:val="28"/>
          <w:szCs w:val="28"/>
          <w:lang w:eastAsia="en-US"/>
        </w:rPr>
      </w:r>
      <w:r/>
    </w:p>
    <w:p>
      <w:pPr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</w:rPr>
        <w:fldChar w:fldCharType="begin"/>
      </w:r>
      <w:r>
        <w:rPr>
          <w:spacing w:val="-4"/>
          <w:sz w:val="28"/>
          <w:szCs w:val="28"/>
        </w:rPr>
        <w:instrText xml:space="preserve"> QUOTE </w:instrTex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28600"/>
                <wp:effectExtent l="0" t="0" r="0" b="0"/>
                <wp:docPr id="6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pacing w:val="-4"/>
          <w:sz w:val="28"/>
          <w:szCs w:val="28"/>
        </w:rPr>
        <w:instrText xml:space="preserve"> </w:instrText>
      </w:r>
      <w:r>
        <w:rPr>
          <w:spacing w:val="-4"/>
          <w:sz w:val="28"/>
          <w:szCs w:val="28"/>
        </w:rPr>
        <w:fldChar w:fldCharType="separate"/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28600"/>
                <wp:effectExtent l="0" t="0" r="0" b="0"/>
                <wp:docPr id="7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pacing w:val="-4"/>
          <w:sz w:val="28"/>
          <w:szCs w:val="28"/>
        </w:rPr>
        <w:fldChar w:fldCharType="end"/>
      </w:r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</w:t>
      </w:r>
      <w:r>
        <w:rPr>
          <w:spacing w:val="-4"/>
          <w:sz w:val="28"/>
          <w:szCs w:val="28"/>
        </w:rPr>
        <w:t xml:space="preserve">февраля 2020 г. № 203 «Об общих требованиях к норма</w:t>
      </w:r>
      <w:r>
        <w:rPr>
          <w:spacing w:val="-4"/>
          <w:sz w:val="28"/>
          <w:szCs w:val="28"/>
        </w:rPr>
        <w:t xml:space="preserve">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28.02.2022 № 178 </w:t>
      </w:r>
      <w:r>
        <w:rPr>
          <w:spacing w:val="-4"/>
          <w:sz w:val="28"/>
          <w:szCs w:val="28"/>
          <w:highlight w:val="white"/>
        </w:rPr>
        <w:t xml:space="preserve">«О республиканских органах исполнительной власти, уполномоченных на установление порядка опред</w:t>
      </w:r>
      <w:r>
        <w:rPr>
          <w:spacing w:val="-4"/>
          <w:sz w:val="28"/>
          <w:szCs w:val="28"/>
          <w:highlight w:val="white"/>
        </w:rPr>
        <w:t xml:space="preserve">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</w:t>
      </w:r>
      <w:bookmarkStart w:id="0" w:name="_GoBack"/>
      <w:r/>
      <w:bookmarkEnd w:id="0"/>
      <w:r>
        <w:rPr>
          <w:spacing w:val="-4"/>
          <w:sz w:val="28"/>
          <w:szCs w:val="28"/>
          <w:highlight w:val="white"/>
        </w:rPr>
        <w:t xml:space="preserve">стан»</w:t>
      </w:r>
      <w:r>
        <w:rPr>
          <w:spacing w:val="-4"/>
          <w:sz w:val="28"/>
          <w:szCs w:val="28"/>
        </w:rPr>
        <w:t xml:space="preserve">, </w:t>
      </w:r>
      <w:r>
        <w:rPr>
          <w:color w:val="000000"/>
          <w:sz w:val="28"/>
        </w:rPr>
        <w:t xml:space="preserve">Законом Республики Татарстан от 28 ноября 2024 года № 87-ЗРТ «О бюджете Республики Татарстан на 2025 год и на плановый период 2026 и 2027 годов»,</w:t>
      </w:r>
      <w:r>
        <w:rPr>
          <w:spacing w:val="-4"/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  </w:t>
      </w:r>
      <w:r/>
    </w:p>
    <w:p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Утвердить прилагаемый Порядок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 (далее – Порядок).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возложить на первого заместителя министра образования и науки Республики Татарстан А.И.Поминова.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          И.Г.Хадиуллин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89"/>
        <w:ind w:left="5954"/>
        <w:jc w:val="both"/>
        <w:rPr>
          <w:b w:val="0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89"/>
        <w:ind w:left="5954"/>
        <w:jc w:val="both"/>
        <w:rPr>
          <w:b w:val="0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8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</w:rPr>
        <w:t xml:space="preserve">Утвержден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89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89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89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89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___________ № _________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государственному автономному об</w:t>
      </w:r>
      <w:r>
        <w:rPr>
          <w:sz w:val="28"/>
          <w:szCs w:val="28"/>
        </w:rPr>
        <w:t xml:space="preserve">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(далее – Порядок).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Мероприятие – </w:t>
      </w:r>
      <w:r>
        <w:rPr>
          <w:rFonts w:eastAsia="Calibri"/>
          <w:sz w:val="28"/>
          <w:szCs w:val="28"/>
          <w:lang w:eastAsia="en-US"/>
        </w:rPr>
        <w:t xml:space="preserve">реализация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eastAsia="Calibri"/>
          <w:sz w:val="28"/>
          <w:szCs w:val="28"/>
          <w:lang w:eastAsia="en-US"/>
        </w:rPr>
        <w:t xml:space="preserve">«Реклама и связи с общественностью. Копирайтинг и бренд-коммуникации»</w:t>
      </w:r>
      <w:r>
        <w:rPr>
          <w:color w:val="000000"/>
          <w:sz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«История тюркских народов», «История искусств тюрко-мусульм</w:t>
      </w:r>
      <w:r>
        <w:rPr>
          <w:rFonts w:eastAsia="Calibri"/>
          <w:sz w:val="28"/>
          <w:szCs w:val="28"/>
          <w:lang w:eastAsia="en-US"/>
        </w:rPr>
        <w:t xml:space="preserve">анского мира», «История, экономика и культура тюркских народов», «Политика и экономика тюркских народов», «Этническая история народов Урала и Поволжья», «Педагогическое образование» </w:t>
      </w:r>
      <w:r/>
      <w:r>
        <w:rPr>
          <w:rFonts w:eastAsia="Calibri"/>
          <w:sz w:val="28"/>
          <w:szCs w:val="28"/>
          <w:lang w:eastAsia="en-US"/>
        </w:rPr>
        <w:t xml:space="preserve">в 2025/2026 учебном году</w:t>
      </w:r>
      <w:r>
        <w:rPr>
          <w:rFonts w:eastAsia="Calibri"/>
          <w:sz w:val="28"/>
          <w:szCs w:val="28"/>
        </w:rPr>
        <w:t xml:space="preserve"> на основании </w:t>
      </w:r>
      <w:r>
        <w:rPr>
          <w:color w:val="000000"/>
          <w:sz w:val="28"/>
        </w:rPr>
        <w:t xml:space="preserve">Закона Республики Татарстан от 28 ноября 2024 года № 87-ЗРТ «О бюджете Республики Татарстан на 2025 год и на плановый период 2026 и 2027 годов»</w:t>
      </w:r>
      <w:r>
        <w:rPr>
          <w:rFonts w:eastAsia="Calibri"/>
          <w:sz w:val="28"/>
          <w:szCs w:val="28"/>
        </w:rPr>
        <w:t xml:space="preserve">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</w:rPr>
        <w:t xml:space="preserve">1</w:t>
      </w:r>
      <w:r>
        <w:rPr>
          <w:rFonts w:eastAsia="Calibri"/>
          <w:sz w:val="28"/>
          <w:szCs w:val="28"/>
        </w:rPr>
        <w:t xml:space="preserve"> Бюджетного кодекса Российской Федерации</w:t>
      </w:r>
      <w:r>
        <w:rPr>
          <w:rFonts w:eastAsia="Calibri"/>
          <w:color w:val="000000"/>
          <w:sz w:val="28"/>
          <w:szCs w:val="25"/>
        </w:rPr>
        <w:t xml:space="preserve">;</w:t>
      </w:r>
      <w:r>
        <w:rPr>
          <w:rFonts w:eastAsia="Calibri"/>
          <w:color w:val="000000"/>
          <w:sz w:val="28"/>
          <w:szCs w:val="25"/>
        </w:rPr>
      </w:r>
      <w:r>
        <w:rPr>
          <w:rFonts w:eastAsia="Calibri"/>
          <w:color w:val="000000"/>
          <w:sz w:val="28"/>
          <w:szCs w:val="25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образования и науки Республики Татарстан Республики Татарстан, осуществляющим функции и полномочия главного распорядителя и получателя средств, в пределах бюджетных а</w:t>
      </w:r>
      <w:r>
        <w:rPr>
          <w:rFonts w:eastAsia="Calibri"/>
          <w:sz w:val="28"/>
          <w:szCs w:val="28"/>
        </w:rPr>
        <w:t xml:space="preserve">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 xml:space="preserve"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в том числе предварительную смету расходов на проведение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дату не ранее чем за 30 календарных дней до дня подачи заявк</w:t>
      </w:r>
      <w:r>
        <w:rPr>
          <w:sz w:val="28"/>
          <w:szCs w:val="28"/>
        </w:rPr>
        <w:t xml:space="preserve">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</w:t>
      </w:r>
      <w:r>
        <w:rPr>
          <w:sz w:val="28"/>
          <w:szCs w:val="28"/>
        </w:rPr>
        <w:t xml:space="preserve">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</w:t>
      </w:r>
      <w:r>
        <w:rPr>
          <w:sz w:val="28"/>
          <w:szCs w:val="28"/>
        </w:rPr>
        <w:t xml:space="preserve">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</w:t>
      </w:r>
      <w:r>
        <w:rPr>
          <w:sz w:val="28"/>
          <w:szCs w:val="28"/>
        </w:rPr>
        <w:t xml:space="preserve">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</w:t>
      </w:r>
      <w:r>
        <w:rPr>
          <w:sz w:val="28"/>
          <w:szCs w:val="28"/>
        </w:rPr>
        <w:t xml:space="preserve">подписанную руководителем и главным бухгалтером Учреждения, скрепленную печатью Учреждения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</w:t>
      </w:r>
      <w:r>
        <w:rPr>
          <w:sz w:val="28"/>
          <w:szCs w:val="28"/>
        </w:rPr>
        <w:t xml:space="preserve">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</w:t>
      </w:r>
      <w:r>
        <w:rPr>
          <w:sz w:val="28"/>
          <w:szCs w:val="28"/>
        </w:rPr>
        <w:t xml:space="preserve">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Заявка регистрируется в течение одного рабочего дня со дня поступления. </w:t>
      </w:r>
      <w:r>
        <w:rPr>
          <w:rFonts w:eastAsia="Calibri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в течение 10 рабочих д</w:t>
      </w:r>
      <w:r>
        <w:rPr>
          <w:sz w:val="28"/>
          <w:szCs w:val="28"/>
        </w:rPr>
        <w:t xml:space="preserve">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</w:rPr>
        <w:t xml:space="preserve">и Учреждение заключают соглашение о предоставлении субсидии в соответствии с типовой формой, установленной Министерством финансов Татарстана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предоставления субсидии с указанием наименования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план мероприятий по достижению результатов предоставления субсидии в соответствии с приложением № 4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размер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(график) перечисления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 xml:space="preserve">главному распорядителю бюджетных средств,</w:t>
      </w:r>
      <w:r>
        <w:rPr>
          <w:rFonts w:eastAsia="Calibri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lang w:eastAsia="en-US"/>
        </w:rPr>
        <w:t xml:space="preserve">в одностороннем порядке, в том числе в связи с: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нарушением Учреждением цели и условий предоставления субсидии, установленных настоящим Порядком и (или) соглашением;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</w:t>
      </w:r>
      <w:r>
        <w:rPr>
          <w:rFonts w:eastAsia="Calibri"/>
          <w:sz w:val="28"/>
          <w:szCs w:val="28"/>
        </w:rPr>
        <w:t xml:space="preserve">ости главный распорядитель бюджетных средств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предоставляемой субсидии определ</w:t>
      </w:r>
      <w:r>
        <w:rPr>
          <w:sz w:val="28"/>
          <w:szCs w:val="28"/>
        </w:rPr>
        <w:t xml:space="preserve">ен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Законом Республики Татарстан от 28 ноября 2024 года № 87-ЗРТ «О бюджете Республики Татарстан на 2025 год и на плановый период 2026 и 2027 годов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</w:t>
      </w:r>
      <w:r>
        <w:rPr>
          <w:sz w:val="28"/>
          <w:szCs w:val="28"/>
        </w:rPr>
        <w:t xml:space="preserve">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</w:t>
      </w:r>
      <w:r>
        <w:rPr>
          <w:sz w:val="28"/>
          <w:szCs w:val="28"/>
        </w:rPr>
        <w:t xml:space="preserve">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1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bookmarkEnd w:id="1"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10. Главный распорядитель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главному распорядителю бюджетных средств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2" w:name="_Hlk84337307"/>
      <w:r>
        <w:rPr>
          <w:sz w:val="28"/>
          <w:szCs w:val="28"/>
        </w:rPr>
        <w:t xml:space="preserve">отчет </w:t>
      </w:r>
      <w:bookmarkStart w:id="3" w:name="_Hlk91515583"/>
      <w:r>
        <w:rPr>
          <w:sz w:val="28"/>
          <w:szCs w:val="28"/>
        </w:rPr>
        <w:t xml:space="preserve">о расходах, источником финансового обеспечения которых является субсидия</w:t>
      </w:r>
      <w:bookmarkEnd w:id="2"/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4" w:name="_Hlk84337365"/>
      <w:r>
        <w:rPr>
          <w:sz w:val="28"/>
          <w:szCs w:val="28"/>
        </w:rPr>
        <w:t xml:space="preserve">о достижении значений результатов предоставления субсидии</w:t>
      </w:r>
      <w:bookmarkEnd w:id="4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соответствии с приложением № 3 к настоящему Порядку, с предоставлением подтверждающих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sz w:val="28"/>
          <w:szCs w:val="28"/>
        </w:rPr>
        <w:t xml:space="preserve">, с предоставлением сведений о реализации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целей, условий и порядка предоставления субсидии и ответственности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осуществляет контроль за соблюдением целей и усл</w:t>
      </w:r>
      <w:r>
        <w:rPr>
          <w:color w:val="000000"/>
          <w:sz w:val="28"/>
          <w:szCs w:val="28"/>
        </w:rPr>
        <w:t xml:space="preserve">овий предоставления Учреждению с</w:t>
      </w:r>
      <w:r>
        <w:rPr>
          <w:color w:val="000000"/>
          <w:sz w:val="28"/>
          <w:szCs w:val="28"/>
        </w:rPr>
        <w:t xml:space="preserve">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</w:t>
      </w:r>
      <w:r>
        <w:rPr>
          <w:color w:val="000000"/>
          <w:sz w:val="28"/>
          <w:szCs w:val="28"/>
          <w:highlight w:val="white"/>
        </w:rPr>
        <w:t xml:space="preserve">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13. Учреждение несет ответственность за представление недостоверных сведений и доку</w:t>
      </w:r>
      <w:r>
        <w:rPr>
          <w:sz w:val="28"/>
          <w:szCs w:val="28"/>
        </w:rPr>
        <w:t xml:space="preserve">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</w:t>
      </w:r>
      <w:r>
        <w:rPr>
          <w:color w:val="000000"/>
          <w:sz w:val="28"/>
          <w:szCs w:val="28"/>
        </w:rPr>
        <w:t xml:space="preserve">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</w:rPr>
        <w:t xml:space="preserve">лавный распорядитель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</w:t>
      </w:r>
      <w:r>
        <w:rPr>
          <w:sz w:val="28"/>
          <w:szCs w:val="28"/>
        </w:rPr>
        <w:t xml:space="preserve">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</w:t>
      </w:r>
      <w:r>
        <w:rPr>
          <w:sz w:val="28"/>
          <w:szCs w:val="28"/>
        </w:rPr>
        <w:t xml:space="preserve">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</w:t>
      </w:r>
      <w:r>
        <w:rPr>
          <w:sz w:val="28"/>
          <w:szCs w:val="28"/>
        </w:rPr>
        <w:t xml:space="preserve">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</w:t>
      </w:r>
      <w:r>
        <w:rPr>
          <w:sz w:val="28"/>
          <w:szCs w:val="28"/>
        </w:rPr>
        <w:t xml:space="preserve">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</w:t>
      </w:r>
      <w:r>
        <w:rPr>
          <w:sz w:val="28"/>
          <w:szCs w:val="28"/>
        </w:rPr>
        <w:t xml:space="preserve">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</w:t>
      </w:r>
      <w:r>
        <w:rPr>
          <w:sz w:val="28"/>
          <w:szCs w:val="28"/>
        </w:rPr>
        <w:t xml:space="preserve">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</w:t>
      </w:r>
      <w:r>
        <w:rPr>
          <w:sz w:val="28"/>
          <w:szCs w:val="28"/>
        </w:rPr>
        <w:t xml:space="preserve">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</w:t>
      </w:r>
      <w:r>
        <w:rPr>
          <w:sz w:val="28"/>
          <w:szCs w:val="28"/>
        </w:rPr>
        <w:t xml:space="preserve">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6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jc w:val="both"/>
        <w:spacing w:line="252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864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9"/>
        <w:jc w:val="center"/>
        <w:rPr>
          <w:b w:val="0"/>
        </w:rPr>
      </w:pPr>
      <w:r/>
      <w:bookmarkStart w:id="5" w:name="_Hlk155976213"/>
      <w:r>
        <w:rPr>
          <w:b w:val="0"/>
        </w:rPr>
      </w:r>
      <w:r>
        <w:rPr>
          <w:b w:val="0"/>
        </w:rPr>
      </w:r>
    </w:p>
    <w:p>
      <w:pPr>
        <w:pStyle w:val="689"/>
        <w:jc w:val="center"/>
        <w:rPr>
          <w:b w:val="0"/>
        </w:rPr>
      </w:pPr>
      <w:r>
        <w:rPr>
          <w:b w:val="0"/>
        </w:rPr>
        <w:t xml:space="preserve">Значения результатов предоставления субсидии</w:t>
      </w:r>
      <w:bookmarkEnd w:id="5"/>
      <w:r>
        <w:rPr>
          <w:b w:val="0"/>
        </w:rPr>
      </w:r>
      <w:r>
        <w:rPr>
          <w:b w:val="0"/>
        </w:rPr>
      </w:r>
    </w:p>
    <w:tbl>
      <w:tblPr>
        <w:tblW w:w="150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Merge w:val="restart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(первичный - "0", уточненный - "1", "2", "3")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3" w:tooltip="https://internet.garant.ru/document/redirect/179222/0" w:history="1">
              <w:r>
                <w:rPr>
                  <w:rStyle w:val="886"/>
                  <w:rFonts w:ascii="Times New Roman" w:hAnsi="Times New Roman"/>
                  <w:color w:val="000000"/>
                  <w:sz w:val="28"/>
                  <w:szCs w:val="28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W w:w="1601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0"/>
        <w:gridCol w:w="1276"/>
        <w:gridCol w:w="709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01.09.2025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30.12.2025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4" w:tooltip="https://login.consultant.ru/link/?req=doc&amp;base=LAW&amp;n=393873&amp;date=14.02.2024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студентов 4 курса,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направлению подготовки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клама и связи с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стью. Копира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тинг и бренд-коммуникации»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Число студентов 2 курса, обучающихся на очной форме обучения без возмещения затрат (бесплатно) по направлениям подготовки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46.03.01 История (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профиль: История тюркских народов)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8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46.04.01 История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(профиль: История, экономика и </w:t>
            </w:r>
            <w:r>
              <w:rPr>
                <w:rFonts w:ascii="Times New Roman" w:hAnsi="Times New Roman" w:cs="Times New Roman"/>
                <w:color w:val="000000"/>
              </w:rPr>
              <w:t xml:space="preserve">культура тюркских народов)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lang w:eastAsia="en-US"/>
              </w:rPr>
              <w:t xml:space="preserve">58.03.01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color w:val="000000"/>
              </w:rPr>
              <w:t xml:space="preserve">Востоковедение и африканистика (профиль: Политика и экономика тюркских народов),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color w:val="000000"/>
              </w:rPr>
            </w:pPr>
            <w:r>
              <w:t xml:space="preserve">50.04.03 </w:t>
            </w:r>
            <w:r>
              <w:rPr>
                <w:color w:val="000000"/>
              </w:rPr>
              <w:t xml:space="preserve">История искусств (профиль: История искус</w:t>
            </w:r>
            <w:r>
              <w:rPr>
                <w:color w:val="000000"/>
              </w:rPr>
              <w:t xml:space="preserve">ств тюрко-мусульманского мира),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46.04.03 Антропология и этнология (профиль: Этническая история народов Урала и Поволжья),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</w:pPr>
            <w:r>
              <w:rPr>
                <w:color w:val="000000"/>
              </w:rPr>
              <w:t xml:space="preserve">44.03.05 Педагогическое образование (с двумя профилями подготовки)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студентов 2 курса, обучающихся на заочной форме обучения без возмещения затрат (бесплатно) по направлению подготовки 44.03.01 Педагогическое образование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ind w:left="935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bCs/>
          <w:sz w:val="8"/>
          <w:szCs w:val="8"/>
        </w:rPr>
      </w:r>
      <w:r>
        <w:rPr>
          <w:bCs/>
          <w:sz w:val="8"/>
          <w:szCs w:val="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расходах, источником финансового обеспечения которых является субсидия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"__" __________ 20__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Учреждения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измерения: рубль (с точностью до второго десятичного знака)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субсидии на начало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субсидии на конец отчетного периода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разрешенный к использованию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в 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дебиторской задолженности прошлых лет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возвращено в бюджет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направлении на те же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6" w:name="Par536"/>
            <w:r/>
            <w:bookmarkEnd w:id="6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7" w:name="Par538"/>
            <w:r/>
            <w:bookmarkEnd w:id="7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8" w:name="Par539"/>
            <w:r/>
            <w:bookmarkEnd w:id="8"/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9" w:name="Par540"/>
            <w:r/>
            <w:bookmarkEnd w:id="9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0" w:name="Par543"/>
            <w:r/>
            <w:bookmarkEnd w:id="10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1" w:name="Par545"/>
            <w:r/>
            <w:bookmarkEnd w:id="11"/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2" w:name="Par546"/>
            <w:r/>
            <w:bookmarkEnd w:id="12"/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лицо) ___________ __________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(должность)    (подпись)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7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t xml:space="preserve">Приложение № 3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7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219"/>
        <w:gridCol w:w="25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по состоянию на 1__ 20__ г.                                            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______________________                                     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бюджетных средств ______________________                                      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Merge w:val="restart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                                                 по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                    ______________________                                            по ОКЕИ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(первичный - "0",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уточненный - "1", "2", "3", "...")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Merge w:val="continue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и обязательствах, принятых в целях их достижения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594" w:type="dxa"/>
        <w:tblInd w:w="-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>
        <w:tblPrEx/>
        <w:trPr/>
        <w:tc>
          <w:tcPr>
            <w:gridSpan w:val="2"/>
            <w:tcW w:w="184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субсидии, предусмотренный соглашением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достигнутые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обязательств, принятых в целях достижения результатов предоставления субсидии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Неиспользованный объем финансового обеспечения (</w:t>
            </w:r>
            <w:hyperlink w:tooltip="9" w:anchor="Par684" w:history="1">
              <w:r>
                <w:rPr>
                  <w:sz w:val="28"/>
                  <w:szCs w:val="28"/>
                </w:rPr>
                <w:t xml:space="preserve">гр. 9</w:t>
              </w:r>
            </w:hyperlink>
            <w:r>
              <w:rPr>
                <w:sz w:val="28"/>
                <w:szCs w:val="28"/>
              </w:rPr>
              <w:t xml:space="preserve"> - </w:t>
            </w:r>
            <w:hyperlink w:tooltip="16" w:anchor="Par691" w:history="1">
              <w:r>
                <w:rPr>
                  <w:sz w:val="28"/>
                  <w:szCs w:val="28"/>
                </w:rPr>
                <w:t xml:space="preserve">гр. 16</w:t>
              </w:r>
            </w:hyperlink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8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отчетную дату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отклонение от планового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5" w:tooltip="https://login.consultant.ru/link/?req=doc&amp;base=LAW&amp;n=393873&amp;date=13.02.2024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заключения </w:t>
            </w:r>
            <w:r>
              <w:rPr>
                <w:sz w:val="28"/>
                <w:szCs w:val="28"/>
              </w:rPr>
              <w:t xml:space="preserve">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</w:t>
            </w:r>
            <w:r>
              <w:rPr>
                <w:sz w:val="28"/>
                <w:szCs w:val="28"/>
              </w:rPr>
              <w:t xml:space="preserve">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заключе</w:t>
            </w:r>
            <w:r>
              <w:rPr>
                <w:sz w:val="28"/>
                <w:szCs w:val="28"/>
              </w:rPr>
              <w:t xml:space="preserve">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</w:t>
            </w:r>
            <w:r>
              <w:rPr>
                <w:sz w:val="28"/>
                <w:szCs w:val="28"/>
              </w:rPr>
              <w:t xml:space="preserve">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абсолютных </w:t>
            </w:r>
            <w:r>
              <w:rPr>
                <w:sz w:val="28"/>
                <w:szCs w:val="28"/>
              </w:rPr>
              <w:t xml:space="preserve">величинах (</w:t>
            </w:r>
            <w:hyperlink w:tooltip="7" w:anchor="Par682" w:history="1">
              <w:r>
                <w:rPr>
                  <w:sz w:val="28"/>
                  <w:szCs w:val="28"/>
                </w:rPr>
                <w:t xml:space="preserve">гр. 7</w:t>
              </w:r>
            </w:hyperlink>
            <w:r>
              <w:rPr>
                <w:sz w:val="28"/>
                <w:szCs w:val="28"/>
              </w:rPr>
              <w:t xml:space="preserve"> - </w:t>
            </w:r>
            <w:hyperlink w:tooltip="10" w:anchor="Par685" w:history="1">
              <w:r>
                <w:rPr>
                  <w:sz w:val="28"/>
                  <w:szCs w:val="28"/>
                </w:rPr>
                <w:t xml:space="preserve">гр. 10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процентах (</w:t>
            </w:r>
            <w:hyperlink w:tooltip="12" w:anchor="Par687" w:history="1">
              <w:r>
                <w:rPr>
                  <w:sz w:val="28"/>
                  <w:szCs w:val="28"/>
                </w:rPr>
                <w:t xml:space="preserve">гр. </w:t>
              </w:r>
              <w:r>
                <w:rPr>
                  <w:sz w:val="28"/>
                  <w:szCs w:val="28"/>
                </w:rPr>
                <w:t xml:space="preserve">12</w:t>
              </w:r>
            </w:hyperlink>
            <w:r>
              <w:rPr>
                <w:sz w:val="28"/>
                <w:szCs w:val="28"/>
              </w:rPr>
              <w:t xml:space="preserve"> / </w:t>
            </w:r>
            <w:hyperlink w:tooltip="7" w:anchor="Par682" w:history="1">
              <w:r>
                <w:rPr>
                  <w:sz w:val="28"/>
                  <w:szCs w:val="28"/>
                </w:rPr>
                <w:t xml:space="preserve">гр. 7</w:t>
              </w:r>
            </w:hyperlink>
            <w:r>
              <w:rPr>
                <w:sz w:val="28"/>
                <w:szCs w:val="28"/>
              </w:rPr>
              <w:t xml:space="preserve"> x 100%)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денежных обязательств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3" w:name="Par676"/>
            <w:r/>
            <w:bookmarkEnd w:id="13"/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4" w:name="Par678"/>
            <w:r/>
            <w:bookmarkEnd w:id="14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5" w:name="Par680"/>
            <w:r/>
            <w:bookmarkEnd w:id="15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6" w:name="Par682"/>
            <w:r/>
            <w:bookmarkEnd w:id="16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7" w:name="Par684"/>
            <w:r/>
            <w:bookmarkEnd w:id="17"/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8" w:name="Par685"/>
            <w:r/>
            <w:bookmarkEnd w:id="18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/>
            <w:bookmarkStart w:id="19" w:name="Par686"/>
            <w:r/>
            <w:bookmarkEnd w:id="19"/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hanging="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(должность)            (подпись)       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(должность)            (фамилия, инициалы)                       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"__" __________20_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Сведения о принятии отчета о достижении значений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результатов предоставления субсидии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23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бюджетной классификации федерального бюджета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КОСГУ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начала заключения соглашения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направленной на достижение результатов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потребность в которой не подтверждена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подлежащей возврату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штрафных санкций (пени), подлежащих перечислению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(должность)         (подпись)        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(должность)           (фамилия, инициалы)                    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"__" __________ 20_ 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220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2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68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6066" w:leader="none"/>
        </w:tabs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366"/>
        <w:gridCol w:w="959"/>
        <w:gridCol w:w="475"/>
        <w:gridCol w:w="93"/>
        <w:gridCol w:w="1537"/>
        <w:gridCol w:w="262"/>
        <w:gridCol w:w="90"/>
        <w:gridCol w:w="761"/>
        <w:gridCol w:w="1516"/>
        <w:gridCol w:w="309"/>
        <w:gridCol w:w="341"/>
        <w:gridCol w:w="1268"/>
        <w:gridCol w:w="2732"/>
      </w:tblGrid>
      <w:tr>
        <w:tblPrEx/>
        <w:trPr>
          <w:gridAfter w:val="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</w:t>
            </w:r>
            <w:r>
              <w:rPr>
                <w:sz w:val="28"/>
                <w:szCs w:val="28"/>
              </w:rPr>
              <w:t xml:space="preserve">плановый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6" w:tooltip="https://login.consultant.ru/link/?req=doc&amp;base=LAW&amp;n=418306&amp;date=08.06.2022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606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5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7937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оплату</w:t>
      </w:r>
      <w:r>
        <w:rPr>
          <w:rFonts w:eastAsia="Calibri"/>
          <w:sz w:val="28"/>
          <w:szCs w:val="28"/>
          <w:lang w:eastAsia="en-US"/>
        </w:rPr>
        <w:t xml:space="preserve"> расходов, с</w:t>
      </w:r>
      <w:r>
        <w:rPr>
          <w:rFonts w:eastAsia="Calibri"/>
          <w:sz w:val="28"/>
          <w:szCs w:val="28"/>
          <w:lang w:eastAsia="en-US"/>
        </w:rPr>
        <w:t xml:space="preserve">вязанных с реализацией социально значимого проекта по организации обучения в 2025/2026 учебном году специалистов системы образования Республики Татарстан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/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</w:pPr>
      <w:r>
        <w:t xml:space="preserve"> </w:t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субсидии (контрольных точек)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состоянию на «__» ______20__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главного распорядителя средств 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40"/>
        <w:gridCol w:w="452"/>
        <w:gridCol w:w="1723"/>
        <w:gridCol w:w="790"/>
        <w:gridCol w:w="1128"/>
        <w:gridCol w:w="1531"/>
        <w:gridCol w:w="1391"/>
        <w:gridCol w:w="1289"/>
        <w:gridCol w:w="1648"/>
        <w:gridCol w:w="843"/>
        <w:gridCol w:w="1394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6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7" w:tooltip="https://login.consultant.ru/link/?req=doc&amp;base=LAW&amp;n=418306&amp;date=08.06.2022" w:history="1">
              <w:r>
                <w:rPr>
                  <w:sz w:val="28"/>
                  <w:szCs w:val="28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отчетного периода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698"/>
    <w:link w:val="712"/>
    <w:uiPriority w:val="10"/>
    <w:rPr>
      <w:sz w:val="48"/>
      <w:szCs w:val="48"/>
    </w:rPr>
  </w:style>
  <w:style w:type="character" w:styleId="683">
    <w:name w:val="Subtitle Char"/>
    <w:basedOn w:val="698"/>
    <w:link w:val="714"/>
    <w:uiPriority w:val="11"/>
    <w:rPr>
      <w:sz w:val="24"/>
      <w:szCs w:val="24"/>
    </w:rPr>
  </w:style>
  <w:style w:type="character" w:styleId="684">
    <w:name w:val="Quote Char"/>
    <w:link w:val="716"/>
    <w:uiPriority w:val="29"/>
    <w:rPr>
      <w:i/>
    </w:rPr>
  </w:style>
  <w:style w:type="character" w:styleId="685">
    <w:name w:val="Intense Quote Char"/>
    <w:link w:val="718"/>
    <w:uiPriority w:val="30"/>
    <w:rPr>
      <w:i/>
    </w:rPr>
  </w:style>
  <w:style w:type="character" w:styleId="686">
    <w:name w:val="Footnote Text Char"/>
    <w:link w:val="853"/>
    <w:uiPriority w:val="99"/>
    <w:rPr>
      <w:sz w:val="18"/>
    </w:rPr>
  </w:style>
  <w:style w:type="character" w:styleId="687">
    <w:name w:val="Endnote Text Char"/>
    <w:link w:val="856"/>
    <w:uiPriority w:val="99"/>
    <w:rPr>
      <w:sz w:val="20"/>
    </w:rPr>
  </w:style>
  <w:style w:type="paragraph" w:styleId="688" w:default="1">
    <w:name w:val="Normal"/>
    <w:qFormat/>
    <w:rPr>
      <w:sz w:val="24"/>
      <w:szCs w:val="24"/>
    </w:rPr>
  </w:style>
  <w:style w:type="paragraph" w:styleId="689">
    <w:name w:val="Heading 1"/>
    <w:basedOn w:val="688"/>
    <w:next w:val="688"/>
    <w:link w:val="870"/>
    <w:qFormat/>
    <w:pPr>
      <w:jc w:val="right"/>
      <w:keepNext/>
      <w:outlineLvl w:val="0"/>
    </w:pPr>
    <w:rPr>
      <w:b/>
      <w:sz w:val="28"/>
      <w:szCs w:val="2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Название Знак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88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721" w:customStyle="1">
    <w:name w:val="Header Char"/>
    <w:uiPriority w:val="99"/>
  </w:style>
  <w:style w:type="paragraph" w:styleId="722">
    <w:name w:val="Footer"/>
    <w:basedOn w:val="688"/>
    <w:link w:val="877"/>
    <w:pPr>
      <w:tabs>
        <w:tab w:val="center" w:pos="4677" w:leader="none"/>
        <w:tab w:val="right" w:pos="9355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5" w:customStyle="1">
    <w:name w:val="Caption Char"/>
    <w:uiPriority w:val="99"/>
  </w:style>
  <w:style w:type="table" w:styleId="726">
    <w:name w:val="Table Grid"/>
    <w:basedOn w:val="6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rPr>
      <w:color w:val="0000ff"/>
      <w:u w:val="single"/>
    </w:rPr>
  </w:style>
  <w:style w:type="paragraph" w:styleId="853">
    <w:name w:val="footnote text"/>
    <w:basedOn w:val="688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88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88"/>
    <w:next w:val="688"/>
    <w:uiPriority w:val="39"/>
    <w:unhideWhenUsed/>
    <w:pPr>
      <w:spacing w:after="57"/>
    </w:pPr>
  </w:style>
  <w:style w:type="paragraph" w:styleId="860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61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2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3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4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5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6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7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88"/>
    <w:next w:val="688"/>
    <w:uiPriority w:val="99"/>
    <w:unhideWhenUsed/>
  </w:style>
  <w:style w:type="character" w:styleId="870" w:customStyle="1">
    <w:name w:val="Заголовок 1 Знак"/>
    <w:link w:val="689"/>
    <w:rPr>
      <w:b/>
      <w:sz w:val="28"/>
    </w:rPr>
  </w:style>
  <w:style w:type="paragraph" w:styleId="871">
    <w:name w:val="Balloon Text"/>
    <w:basedOn w:val="688"/>
    <w:semiHidden/>
    <w:rPr>
      <w:rFonts w:ascii="Tahoma" w:hAnsi="Tahoma" w:cs="Tahoma"/>
      <w:sz w:val="16"/>
      <w:szCs w:val="16"/>
    </w:rPr>
  </w:style>
  <w:style w:type="paragraph" w:styleId="872">
    <w:name w:val="Body Text 2"/>
    <w:basedOn w:val="688"/>
    <w:link w:val="873"/>
    <w:pPr>
      <w:spacing w:after="120" w:line="480" w:lineRule="auto"/>
    </w:pPr>
  </w:style>
  <w:style w:type="character" w:styleId="873" w:customStyle="1">
    <w:name w:val="Основной текст 2 Знак"/>
    <w:link w:val="872"/>
    <w:rPr>
      <w:sz w:val="24"/>
      <w:szCs w:val="24"/>
    </w:rPr>
  </w:style>
  <w:style w:type="character" w:styleId="874" w:customStyle="1">
    <w:name w:val="Верхний колонтитул Знак"/>
    <w:link w:val="720"/>
    <w:uiPriority w:val="99"/>
    <w:rPr>
      <w:sz w:val="24"/>
      <w:szCs w:val="24"/>
    </w:rPr>
  </w:style>
  <w:style w:type="paragraph" w:styleId="875" w:customStyle="1">
    <w:name w:val="Заголовок"/>
    <w:basedOn w:val="688"/>
    <w:link w:val="876"/>
    <w:qFormat/>
    <w:pPr>
      <w:jc w:val="center"/>
    </w:pPr>
    <w:rPr>
      <w:b/>
      <w:sz w:val="27"/>
      <w:szCs w:val="20"/>
    </w:rPr>
  </w:style>
  <w:style w:type="character" w:styleId="876" w:customStyle="1">
    <w:name w:val="Заголовок Знак"/>
    <w:link w:val="875"/>
    <w:rPr>
      <w:b/>
      <w:sz w:val="27"/>
    </w:rPr>
  </w:style>
  <w:style w:type="character" w:styleId="877" w:customStyle="1">
    <w:name w:val="Нижний колонтитул Знак"/>
    <w:link w:val="722"/>
    <w:rPr>
      <w:sz w:val="24"/>
      <w:szCs w:val="24"/>
    </w:rPr>
  </w:style>
  <w:style w:type="paragraph" w:styleId="878">
    <w:name w:val="Body Text Indent 2"/>
    <w:basedOn w:val="688"/>
    <w:link w:val="879"/>
    <w:pPr>
      <w:ind w:left="283"/>
      <w:spacing w:after="120" w:line="480" w:lineRule="auto"/>
    </w:pPr>
  </w:style>
  <w:style w:type="character" w:styleId="879" w:customStyle="1">
    <w:name w:val="Основной текст с отступом 2 Знак"/>
    <w:link w:val="878"/>
    <w:rPr>
      <w:sz w:val="24"/>
      <w:szCs w:val="24"/>
    </w:rPr>
  </w:style>
  <w:style w:type="character" w:styleId="880">
    <w:name w:val="Placeholder Text"/>
    <w:uiPriority w:val="99"/>
    <w:semiHidden/>
    <w:rPr>
      <w:color w:val="808080"/>
    </w:rPr>
  </w:style>
  <w:style w:type="character" w:styleId="881" w:customStyle="1">
    <w:name w:val="st1"/>
  </w:style>
  <w:style w:type="character" w:styleId="882" w:customStyle="1">
    <w:name w:val="Основной текст_"/>
    <w:link w:val="883"/>
    <w:rPr>
      <w:sz w:val="26"/>
      <w:szCs w:val="26"/>
      <w:shd w:val="clear" w:color="auto" w:fill="ffffff"/>
    </w:rPr>
  </w:style>
  <w:style w:type="paragraph" w:styleId="883" w:customStyle="1">
    <w:name w:val="Основной текст2"/>
    <w:basedOn w:val="688"/>
    <w:link w:val="882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84" w:customStyle="1">
    <w:name w:val="layout"/>
  </w:style>
  <w:style w:type="paragraph" w:styleId="885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86" w:customStyle="1">
    <w:name w:val="Гипертекстовая ссылка"/>
    <w:uiPriority w:val="99"/>
    <w:rPr>
      <w:rFonts w:cs="Times New Roman"/>
      <w:color w:val="106bbe"/>
    </w:rPr>
  </w:style>
  <w:style w:type="paragraph" w:styleId="887" w:customStyle="1">
    <w:name w:val="Нормальный (таблица)"/>
    <w:basedOn w:val="688"/>
    <w:next w:val="688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8" w:customStyle="1">
    <w:name w:val="Прижатый влево"/>
    <w:basedOn w:val="688"/>
    <w:next w:val="688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0" w:customStyle="1">
    <w:name w:val="formattext"/>
    <w:basedOn w:val="688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image" Target="media/image2.png"/><Relationship Id="rId13" Type="http://schemas.openxmlformats.org/officeDocument/2006/relationships/hyperlink" Target="https://internet.garant.ru/document/redirect/179222/0" TargetMode="External"/><Relationship Id="rId14" Type="http://schemas.openxmlformats.org/officeDocument/2006/relationships/hyperlink" Target="https://login.consultant.ru/link/?req=doc&amp;base=LAW&amp;n=393873&amp;date=14.02.2024" TargetMode="External"/><Relationship Id="rId15" Type="http://schemas.openxmlformats.org/officeDocument/2006/relationships/hyperlink" Target="https://login.consultant.ru/link/?req=doc&amp;base=LAW&amp;n=393873&amp;date=13.02.2024" TargetMode="External"/><Relationship Id="rId16" Type="http://schemas.openxmlformats.org/officeDocument/2006/relationships/hyperlink" Target="https://login.consultant.ru/link/?req=doc&amp;base=LAW&amp;n=418306&amp;date=08.06.2022" TargetMode="External"/><Relationship Id="rId17" Type="http://schemas.openxmlformats.org/officeDocument/2006/relationships/hyperlink" Target="https://login.consultant.ru/link/?req=doc&amp;base=LAW&amp;n=418306&amp;date=08.06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119</cp:revision>
  <dcterms:created xsi:type="dcterms:W3CDTF">2022-07-27T09:16:00Z</dcterms:created>
  <dcterms:modified xsi:type="dcterms:W3CDTF">2025-03-19T13:56:27Z</dcterms:modified>
  <cp:version>1048576</cp:version>
</cp:coreProperties>
</file>