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ind w:firstLine="720"/>
        <w:jc w:val="right"/>
        <w:rPr>
          <w:shd w:val="clear" w:color="auto" w:fill="auto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Проект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1"/>
        <w:ind w:firstLine="720"/>
        <w:jc w:val="right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ind w:right="4989" w:firstLine="737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right="4989" w:firstLine="737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right="4989" w:firstLine="737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right="4989" w:firstLine="737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ind w:right="4989"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4989"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4989"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8"/>
        <w:ind w:right="4989" w:firstLine="737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9"/>
        <w:ind w:left="0" w:right="4989" w:firstLine="0"/>
        <w:jc w:val="both"/>
        <w:spacing w:before="0" w:after="0"/>
        <w:rPr>
          <w:shd w:val="clear" w:color="auto" w:fill="auto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Об утверждении Порядка предоставления в 2025 году гранта в форме субсидии образовательным организациям высшего образования на  реализацию проекта, направленного на создание передовой инженерной школы республиканского значения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9"/>
        <w:ind w:left="0" w:firstLine="720"/>
        <w:jc w:val="both"/>
        <w:spacing w:before="0" w:after="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888"/>
        <w:rPr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ц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елях реализации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      «Об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Республики Татарстан «Научно-технологическое развитие Республики Татарстан» (с изменениями, внесенными постановлениями Кабинета Министров Республики Татарстан от 29.12.2023 № 1720 и от 07.10.2024 № 864), Кабинет Министров Республики Татарстан ПОСТАНОВЛЯЕТ: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rPr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</w:p>
    <w:p>
      <w:pPr>
        <w:pStyle w:val="888"/>
      </w:pPr>
      <w:r/>
      <w:bookmarkStart w:id="0" w:name="sub_1"/>
      <w:r/>
      <w:bookmarkEnd w:id="0"/>
      <w:r>
        <w:rPr>
          <w:rStyle w:val="894"/>
          <w:sz w:val="28"/>
          <w:szCs w:val="28"/>
          <w:shd w:val="clear" w:color="auto" w:fill="auto"/>
        </w:rPr>
        <w:t xml:space="preserve">1. Утвердить прилагаемый </w:t>
      </w:r>
      <w:r>
        <w:rPr>
          <w:rStyle w:val="894"/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Порядок предоставления в 2025 году гранта в форме субсидии образовательным организациям высшего образования на  реализацию проекта, направленного на создание передовой инженерной школы республиканского значения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.</w:t>
      </w:r>
      <w:r/>
    </w:p>
    <w:p>
      <w:pPr>
        <w:pStyle w:val="888"/>
      </w:pPr>
      <w:r/>
      <w:bookmarkStart w:id="1" w:name="sub_2"/>
      <w:r/>
      <w:bookmarkStart w:id="2" w:name="sub_2_Копия_1"/>
      <w:r/>
      <w:bookmarkEnd w:id="1"/>
      <w:r/>
      <w:bookmarkEnd w:id="2"/>
      <w:r>
        <w:rPr>
          <w:rStyle w:val="894"/>
          <w:sz w:val="28"/>
          <w:szCs w:val="28"/>
          <w:shd w:val="clear" w:color="auto" w:fill="auto"/>
        </w:rPr>
        <w:t xml:space="preserve">2. Контроль за исполнением настоящего постановления возложить на государственное научное бюджетное учреждение «Академия наук Республики Татарстан».</w:t>
      </w:r>
      <w:r/>
    </w:p>
    <w:p>
      <w:pPr>
        <w:pStyle w:val="888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bookmarkStart w:id="5" w:name="sub_2_Копия_2"/>
      <w:r/>
      <w:bookmarkStart w:id="6" w:name="sub_2_Копия_3"/>
      <w:r/>
      <w:bookmarkEnd w:id="5"/>
      <w:r/>
      <w:bookmarkEnd w:id="6"/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tbl>
      <w:tblPr>
        <w:tblW w:w="9870" w:type="dxa"/>
        <w:tblInd w:w="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65"/>
        <w:gridCol w:w="3004"/>
      </w:tblGrid>
      <w:tr>
        <w:tblPrEx/>
        <w:trPr/>
        <w:tc>
          <w:tcPr>
            <w:tcW w:w="6865" w:type="dxa"/>
            <w:textDirection w:val="lrTb"/>
            <w:noWrap w:val="false"/>
          </w:tcPr>
          <w:p>
            <w:pPr>
              <w:pStyle w:val="915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Премьер-министр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  <w:p>
            <w:pPr>
              <w:pStyle w:val="915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Республики Татарстан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W w:w="3004" w:type="dxa"/>
            <w:textDirection w:val="lrTb"/>
            <w:noWrap w:val="false"/>
          </w:tcPr>
          <w:p>
            <w:pPr>
              <w:pStyle w:val="916"/>
              <w:ind w:firstLine="720"/>
              <w:jc w:val="right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  <w:p>
            <w:pPr>
              <w:pStyle w:val="916"/>
              <w:ind w:firstLine="720"/>
              <w:jc w:val="right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А.В.Песошин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</w:tr>
    </w:tbl>
    <w:p>
      <w:p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w="11906" w:h="16798" w:orient="portrait"/>
          <w:pgMar w:top="720" w:right="806" w:bottom="720" w:left="1185" w:header="0" w:footer="0" w:gutter="0"/>
          <w:cols w:num="1" w:sep="0" w:space="1701" w:equalWidth="1"/>
          <w:docGrid w:linePitch="360"/>
        </w:sectPr>
      </w:pPr>
      <w:r/>
      <w:r/>
    </w:p>
    <w:p>
      <w:pPr>
        <w:pStyle w:val="928"/>
        <w:ind w:left="6096" w:firstLine="0"/>
        <w:jc w:val="left"/>
        <w:tabs>
          <w:tab w:val="clear" w:pos="720" w:leader="none"/>
          <w:tab w:val="left" w:pos="6096" w:leader="none"/>
        </w:tabs>
        <w:rPr>
          <w:shd w:val="clear" w:color="auto" w:fill="auto"/>
        </w:rPr>
      </w:pPr>
      <w:r>
        <w:rPr>
          <w:rFonts w:eastAsia="DejaVu Sans" w:cs="Noto Sans Devanagari"/>
          <w:color w:val="000000"/>
          <w:sz w:val="28"/>
          <w:szCs w:val="28"/>
          <w:shd w:val="clear" w:color="auto" w:fill="auto"/>
        </w:rPr>
        <w:t xml:space="preserve">Утвержден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8"/>
        <w:ind w:left="6096" w:firstLine="0"/>
        <w:jc w:val="left"/>
        <w:rPr>
          <w:shd w:val="clear" w:color="auto" w:fill="auto"/>
        </w:rPr>
      </w:pPr>
      <w:r>
        <w:rPr>
          <w:rFonts w:eastAsia="DejaVu Sans" w:cs="Noto Sans Devanagari"/>
          <w:color w:val="000000"/>
          <w:sz w:val="28"/>
          <w:szCs w:val="28"/>
          <w:shd w:val="clear" w:color="auto" w:fill="auto"/>
        </w:rPr>
        <w:t xml:space="preserve">постановлением 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8"/>
        <w:ind w:left="6096" w:firstLine="0"/>
        <w:jc w:val="left"/>
        <w:rPr>
          <w:shd w:val="clear" w:color="auto" w:fill="auto"/>
        </w:rPr>
      </w:pPr>
      <w:r>
        <w:rPr>
          <w:rFonts w:eastAsia="DejaVu Sans" w:cs="Noto Sans Devanagari"/>
          <w:color w:val="000000"/>
          <w:sz w:val="28"/>
          <w:szCs w:val="28"/>
          <w:shd w:val="clear" w:color="auto" w:fill="auto"/>
        </w:rPr>
        <w:t xml:space="preserve">Кабинета Министров 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8"/>
        <w:ind w:left="6096" w:firstLine="0"/>
        <w:jc w:val="left"/>
        <w:rPr>
          <w:shd w:val="clear" w:color="auto" w:fill="auto"/>
        </w:rPr>
      </w:pPr>
      <w:r>
        <w:rPr>
          <w:rFonts w:eastAsia="DejaVu Sans" w:cs="Noto Sans Devanagari"/>
          <w:color w:val="000000"/>
          <w:sz w:val="28"/>
          <w:szCs w:val="28"/>
          <w:shd w:val="clear" w:color="auto" w:fill="auto"/>
        </w:rPr>
        <w:t xml:space="preserve">Республики Татарстан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8"/>
        <w:ind w:left="6096" w:firstLine="0"/>
        <w:jc w:val="left"/>
        <w:rPr>
          <w:shd w:val="clear" w:color="auto" w:fill="auto"/>
        </w:rPr>
      </w:pPr>
      <w:r>
        <w:rPr>
          <w:rFonts w:eastAsia="DejaVu Sans" w:cs="Noto Sans Devanagari"/>
          <w:color w:val="000000"/>
          <w:sz w:val="28"/>
          <w:szCs w:val="28"/>
          <w:shd w:val="clear" w:color="auto" w:fill="auto"/>
        </w:rPr>
        <w:t xml:space="preserve">от ______ 2025 № ____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9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</w:rPr>
      </w:r>
    </w:p>
    <w:p>
      <w:pPr>
        <w:pStyle w:val="889"/>
        <w:ind w:left="0" w:firstLine="0"/>
        <w:jc w:val="left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73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Порядок предоставления в 2025 году гранта в форме субсидии образовательной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auto"/>
        </w:rPr>
      </w:r>
    </w:p>
    <w:p>
      <w:pPr>
        <w:pStyle w:val="73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организации высшего образования на финансовое обеспечение затрат по реализации проекта, направленного на создание передовой инженерной школы </w:t>
      </w:r>
      <w:r>
        <w:rPr>
          <w:shd w:val="clear" w:color="auto" w:fill="auto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734"/>
        <w:jc w:val="center"/>
        <w:rPr>
          <w:highlight w:val="none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республиканского значения</w:t>
      </w:r>
      <w:r>
        <w:rPr>
          <w:color w:val="000000"/>
          <w:sz w:val="28"/>
          <w:szCs w:val="28"/>
          <w:shd w:val="clear" w:color="auto" w:fill="auto"/>
        </w:rPr>
        <w:br/>
      </w:r>
      <w:r>
        <w:rPr>
          <w:shd w:val="clear" w:color="auto" w:fill="auto"/>
        </w:rPr>
      </w:r>
      <w:r>
        <w:rPr>
          <w:highlight w:val="none"/>
        </w:rPr>
      </w:r>
    </w:p>
    <w:p>
      <w:pPr>
        <w:pStyle w:val="734"/>
        <w:jc w:val="center"/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/>
    </w:p>
    <w:p>
      <w:pPr>
        <w:pStyle w:val="888"/>
        <w:ind w:firstLine="0"/>
        <w:jc w:val="center"/>
        <w:rPr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I. Общие положения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2"/>
        <w:ind w:left="0" w:right="57" w:firstLine="0"/>
        <w:rPr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</w:p>
    <w:p>
      <w:pPr>
        <w:pStyle w:val="922"/>
        <w:ind w:left="0" w:right="57" w:firstLine="737"/>
      </w:pPr>
      <w:r/>
      <w:bookmarkStart w:id="7" w:name="sub_101"/>
      <w:r/>
      <w:bookmarkEnd w:id="7"/>
      <w:r>
        <w:rPr>
          <w:rStyle w:val="894"/>
          <w:color w:val="000000"/>
          <w:sz w:val="28"/>
          <w:szCs w:val="28"/>
          <w:shd w:val="clear" w:color="auto" w:fill="auto"/>
        </w:rPr>
        <w:t xml:space="preserve">1.1. Настоящий Поряд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ок разработа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н в соответствии с Бюджетным кодексом Российской Федерации, постановлением Правительства Российской Федерации             от 25 октября 2023 г. № 1782 «Об утверждении общих требований к нормативным правовым актам, муниципальным правовым актам, регулирующим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боров получателей указанных субсидий, в том числе грантов в форме субсидий», Бюджетным кодексом Республики Татарстан, постановлением Кабинета Министров Республики Татарстан от 27.12.2022 № 1429 «Об утверждении государственной программы Республики Татарстан</w:t>
      </w:r>
      <w:bookmarkStart w:id="8" w:name="ext-gen1623"/>
      <w:r/>
      <w:bookmarkEnd w:id="8"/>
      <w:r>
        <w:rPr>
          <w:rStyle w:val="894"/>
          <w:color w:val="000000"/>
          <w:sz w:val="28"/>
          <w:szCs w:val="28"/>
          <w:shd w:val="clear" w:color="auto" w:fill="auto"/>
        </w:rPr>
        <w:t xml:space="preserve"> «Научно-технологическое развитие Республики Татарстан» и определяет механизм, цель и ус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ловия предоставления в 2025 году гранта в форме субсидии образовательной организации высшего образования на финансовое обеспечение затрат по реализации проекта, направленного на создание передовой инженерной школы республиканского значения (далее – грант).</w:t>
      </w:r>
      <w:r/>
    </w:p>
    <w:p>
      <w:pPr>
        <w:pStyle w:val="922"/>
        <w:ind w:left="0" w:right="57" w:firstLine="737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1.2. Для целей настоящего Порядка используются следующие понятия:</w:t>
      </w:r>
      <w:r/>
    </w:p>
    <w:p>
      <w:pPr>
        <w:pStyle w:val="922"/>
        <w:ind w:left="0" w:right="57" w:firstLine="737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«высокотехнологичная компания» – организация, действующая на территории Российской Федерации в соответствии с законодательством Российской Федерации, осуществляющая деятельность в высокотехнологичных и наукоемких отраслях;</w:t>
      </w:r>
      <w:r/>
    </w:p>
    <w:p>
      <w:pPr>
        <w:pStyle w:val="922"/>
        <w:ind w:left="0" w:right="57" w:firstLine="737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«передовая инженерная школа республиканского значения» – структурное подразделение (без образования юридического лица) образов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ательной организации высшего образования, осуществляющее образовательную, научную, инновационную деятельность в соответствии с планом мероприятий развития передовой инженерной школы республиканского значения в партнерстве с высокотехнологичными компаниями;</w:t>
      </w:r>
      <w:r/>
    </w:p>
    <w:p>
      <w:pPr>
        <w:pStyle w:val="888"/>
      </w:pPr>
      <w:r>
        <w:rPr>
          <w:rStyle w:val="894"/>
          <w:rFonts w:ascii="Times New Roman" w:hAnsi="Times New Roman" w:cs="Times New Roman"/>
          <w:b w:val="0"/>
          <w:color w:val="000000"/>
          <w:sz w:val="28"/>
          <w:szCs w:val="28"/>
          <w:shd w:val="clear" w:color="auto" w:fill="auto"/>
        </w:rPr>
        <w:t xml:space="preserve">«победитель отбора</w:t>
      </w:r>
      <w:r>
        <w:rPr>
          <w:rStyle w:val="894"/>
          <w:rFonts w:ascii="Times New Roman" w:hAnsi="Times New Roman" w:cs="Times New Roman"/>
          <w:b w:val="0"/>
          <w:color w:val="000000"/>
          <w:sz w:val="28"/>
          <w:szCs w:val="28"/>
          <w:shd w:val="clear" w:color="auto" w:fill="auto"/>
        </w:rPr>
        <w:t xml:space="preserve">» – заявитель, включенный в перечень, сформированный экспертной комиссией по результатам ранжирования поступивших заявок в соответствии с пунктом 7.18 настоящего Порядка в пределах объема распределяемого гранта, указанного в объявлении о проведении отбора;</w:t>
      </w:r>
      <w:r/>
    </w:p>
    <w:p>
      <w:pPr>
        <w:pStyle w:val="922"/>
        <w:ind w:left="0" w:right="57" w:firstLine="737"/>
      </w:pPr>
      <w:r>
        <w:rPr>
          <w:rStyle w:val="894"/>
          <w:rFonts w:ascii="Times New Roman" w:hAnsi="Times New Roman" w:cs="Times New Roman"/>
          <w:b w:val="0"/>
          <w:color w:val="000000"/>
          <w:sz w:val="28"/>
          <w:szCs w:val="28"/>
          <w:shd w:val="clear" w:color="auto" w:fill="auto"/>
        </w:rPr>
        <w:t xml:space="preserve">«грантополучатель» – победитель отбора, заключивший соглашение о предоставлении гранта с Академией наук Республики Татарстан;</w:t>
      </w:r>
      <w:r/>
    </w:p>
    <w:p>
      <w:pPr>
        <w:pStyle w:val="922"/>
        <w:ind w:left="0" w:right="57" w:firstLine="737"/>
      </w:pPr>
      <w:r>
        <w:rPr>
          <w:rStyle w:val="894"/>
          <w:rFonts w:ascii="Times New Roman" w:hAnsi="Times New Roman" w:cs="Times New Roman"/>
          <w:b w:val="0"/>
          <w:color w:val="000000"/>
          <w:sz w:val="28"/>
          <w:szCs w:val="28"/>
          <w:shd w:val="clear" w:color="auto" w:fill="auto"/>
        </w:rPr>
        <w:t xml:space="preserve">«соглашение» – соглашение о предоставлении гранта, заключенный между грантополучателем и Академией наук Республики Татарстан в соответствии с типовой формой, установленной Министерством финансов Российской Федерации.  </w:t>
      </w:r>
      <w:r/>
    </w:p>
    <w:p>
      <w:pPr>
        <w:pStyle w:val="922"/>
        <w:ind w:left="0" w:firstLine="720"/>
      </w:pPr>
      <w:r/>
      <w:bookmarkStart w:id="9" w:name="sub_102"/>
      <w:r/>
      <w:bookmarkStart w:id="10" w:name="sub_102_Копия_1"/>
      <w:r/>
      <w:bookmarkEnd w:id="9"/>
      <w:r/>
      <w:bookmarkEnd w:id="10"/>
      <w:r>
        <w:rPr>
          <w:rStyle w:val="894"/>
          <w:color w:val="000000"/>
          <w:sz w:val="28"/>
          <w:szCs w:val="28"/>
          <w:shd w:val="clear" w:color="auto" w:fill="auto"/>
        </w:rPr>
        <w:t xml:space="preserve">1.3. Грант предоставляется в целях поддержки образовательных организаций высшего образования Республики Татарстан в рамках реализации проекта, направленного на создание передовой инж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енерной школы республиканского значения на базе ведущей образовательной организации высшего образования в Республике Татарстан в партнерстве с высокотехнологичной компанией (высокотехнологичными компаниями), обеспечение условий для создания нового типа инж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енерной подготовки, популяризацию инженерно-технического образования, подготовку участия образовательной организации высшего образования в программе «Передовые инженерные школы» федерального проекта «Университеты для поколения лидеров» в 2026 и 2027 годах.</w:t>
      </w:r>
      <w:r/>
    </w:p>
    <w:p>
      <w:pPr>
        <w:pStyle w:val="922"/>
        <w:ind w:left="0" w:firstLine="720"/>
      </w:pPr>
      <w:r/>
      <w:bookmarkStart w:id="11" w:name="sub_103"/>
      <w:r/>
      <w:bookmarkStart w:id="12" w:name="sub_103_Копия_1"/>
      <w:r/>
      <w:bookmarkEnd w:id="11"/>
      <w:r/>
      <w:bookmarkEnd w:id="12"/>
      <w:r>
        <w:rPr>
          <w:rStyle w:val="894"/>
          <w:color w:val="000000"/>
          <w:sz w:val="28"/>
          <w:szCs w:val="28"/>
          <w:shd w:val="clear" w:color="auto" w:fill="auto"/>
        </w:rPr>
        <w:t xml:space="preserve">1.4. Главным распорядителем средств бюджета Республики Татарстан, до которого в соответствии с бюджетным законодательством Российской Федерации как д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о получателя бюджетных средств доведены в установленном порядке лимиты бюджетных обязательств на предоставление гранта, является государственное научное бюджетное учреждение «Академия наук Республики Татарстан» (далее – Академия наук Республики Татарстан).</w:t>
      </w:r>
      <w:r/>
    </w:p>
    <w:p>
      <w:pPr>
        <w:pStyle w:val="922"/>
        <w:ind w:left="0" w:firstLine="720"/>
      </w:pPr>
      <w:r/>
      <w:bookmarkStart w:id="13" w:name="sub_103_Копия_2"/>
      <w:r/>
      <w:bookmarkEnd w:id="13"/>
      <w:r>
        <w:rPr>
          <w:rStyle w:val="894"/>
          <w:color w:val="000000"/>
          <w:sz w:val="28"/>
          <w:szCs w:val="28"/>
          <w:shd w:val="clear" w:color="auto" w:fill="auto"/>
        </w:rPr>
        <w:t xml:space="preserve">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</w:t>
      </w:r>
      <w:bookmarkStart w:id="14" w:name="_Hlk199164760"/>
      <w:r>
        <w:rPr>
          <w:rStyle w:val="894"/>
          <w:color w:val="000000"/>
          <w:sz w:val="28"/>
          <w:szCs w:val="28"/>
          <w:shd w:val="clear" w:color="auto" w:fill="auto"/>
        </w:rPr>
        <w:t xml:space="preserve">»</w:t>
      </w:r>
      <w:bookmarkEnd w:id="14"/>
      <w:r>
        <w:rPr>
          <w:rStyle w:val="894"/>
          <w:color w:val="000000"/>
          <w:sz w:val="28"/>
          <w:szCs w:val="28"/>
          <w:shd w:val="clear" w:color="auto" w:fill="auto"/>
        </w:rPr>
        <w:t xml:space="preserve"> в порядке, установленном Министерством финансов Российской Федерации.</w:t>
      </w:r>
      <w:r/>
    </w:p>
    <w:p>
      <w:pPr>
        <w:pStyle w:val="922"/>
        <w:ind w:left="0" w:firstLine="720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1.5. Грант пре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доставляется образовательной организации высшего образования в пределах бюджетных ассигнований и лимитов бюджетных обязательств, доведенных в установленном порядке до Академии наук Республики Татарстан на цели, установленные пунктом 1.3 настоящего Порядка.</w:t>
      </w:r>
      <w:r/>
    </w:p>
    <w:p>
      <w:pPr>
        <w:pStyle w:val="922"/>
        <w:ind w:left="0" w:firstLine="720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1.6. С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пособом проведения отбора является конкурс, при котором получатели гранта определяются исходя из наилучших условий достижения результатов предоставления гранта в соответствии с критериями оценки заявок, определенными в соответствии с Приложением к Порядку.</w:t>
      </w:r>
      <w:r/>
    </w:p>
    <w:p>
      <w:pPr>
        <w:pStyle w:val="922"/>
        <w:ind w:left="0" w:firstLine="720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1.7.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  <w:r/>
    </w:p>
    <w:p>
      <w:pPr>
        <w:pStyle w:val="922"/>
        <w:ind w:left="0" w:firstLine="720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1.8. Взаимодействие Академии наук Республики Татарстан и экспертной комиссии по рассмотрению и оценке заявок (далее – экспертная комиссия) с участниками отбора осуществляется с использованием документов в электронной форме в системе «Электронный бюджет».</w:t>
      </w:r>
      <w:r/>
    </w:p>
    <w:p>
      <w:pPr>
        <w:pStyle w:val="922"/>
        <w:ind w:left="0" w:firstLine="720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1.9. Доступ участников отбора к системе «Электронный бюджет» осуществляется с использованием федеральной государственной информ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/>
    </w:p>
    <w:p>
      <w:pPr>
        <w:pStyle w:val="888"/>
      </w:pPr>
      <w:r>
        <w:rPr>
          <w:rStyle w:val="894"/>
          <w:rFonts w:cs="Mangal"/>
          <w:color w:val="000000"/>
          <w:sz w:val="28"/>
          <w:szCs w:val="28"/>
          <w:shd w:val="clear" w:color="auto" w:fill="auto"/>
        </w:rPr>
        <w:t xml:space="preserve">1.10. Грант предоставляется на финансовое обеспечение затрат получателя гранта, которые определяются:</w:t>
      </w:r>
      <w:r/>
    </w:p>
    <w:p>
      <w:pPr>
        <w:pStyle w:val="888"/>
      </w:pPr>
      <w:r/>
      <w:bookmarkStart w:id="15" w:name="p_38"/>
      <w:r/>
      <w:bookmarkEnd w:id="15"/>
      <w:r>
        <w:rPr>
          <w:rStyle w:val="894"/>
          <w:rFonts w:cs="Mangal"/>
          <w:color w:val="000000"/>
          <w:sz w:val="28"/>
          <w:szCs w:val="28"/>
          <w:shd w:val="clear" w:color="auto" w:fill="auto"/>
        </w:rPr>
        <w:t xml:space="preserve">в соответствии с законодательством;</w:t>
      </w:r>
      <w:r/>
    </w:p>
    <w:p>
      <w:pPr>
        <w:pStyle w:val="888"/>
      </w:pPr>
      <w:r/>
      <w:bookmarkStart w:id="16" w:name="p_39"/>
      <w:r/>
      <w:bookmarkEnd w:id="16"/>
      <w:r>
        <w:rPr>
          <w:rStyle w:val="894"/>
          <w:rFonts w:cs="Mangal"/>
          <w:color w:val="000000"/>
          <w:sz w:val="28"/>
          <w:szCs w:val="28"/>
          <w:shd w:val="clear" w:color="auto" w:fill="auto"/>
        </w:rPr>
        <w:t xml:space="preserve">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</w:t>
      </w:r>
      <w:r>
        <w:rPr>
          <w:rStyle w:val="894"/>
          <w:rFonts w:cs="Mangal"/>
          <w:color w:val="000000"/>
          <w:sz w:val="28"/>
          <w:szCs w:val="28"/>
          <w:shd w:val="clear" w:color="auto" w:fill="auto"/>
        </w:rPr>
        <w:t xml:space="preserve">й –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  <w:r/>
    </w:p>
    <w:p>
      <w:pPr>
        <w:pStyle w:val="888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922"/>
        <w:ind w:left="0" w:firstLine="0"/>
        <w:jc w:val="center"/>
      </w:pPr>
      <w:r>
        <w:rPr>
          <w:rStyle w:val="894"/>
          <w:color w:val="000000"/>
          <w:sz w:val="28"/>
          <w:szCs w:val="28"/>
          <w:shd w:val="clear" w:color="auto" w:fill="auto"/>
        </w:rPr>
        <w:t xml:space="preserve">II. Условия предоставления гранта</w:t>
      </w:r>
      <w:r/>
    </w:p>
    <w:p>
      <w:pPr>
        <w:pStyle w:val="922"/>
        <w:ind w:left="0" w:firstLine="720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</w:pPr>
      <w:r/>
      <w:bookmarkStart w:id="17" w:name="sub_115"/>
      <w:r/>
      <w:bookmarkStart w:id="18" w:name="p_41"/>
      <w:r/>
      <w:bookmarkEnd w:id="17"/>
      <w:r/>
      <w:bookmarkEnd w:id="18"/>
      <w:r>
        <w:rPr>
          <w:rStyle w:val="894"/>
          <w:sz w:val="28"/>
          <w:szCs w:val="28"/>
          <w:shd w:val="clear" w:color="auto" w:fill="auto"/>
        </w:rPr>
        <w:t xml:space="preserve">2.1. Направления расходов, источником финансового обеспечения которых является грант: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оплата труда сотрудников образовательной организации высшего образования, задействованных в обеспечении деятельности передовой инженерной школы республиканского значения;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начисления на выплаты по оплате труда сотрудников образовательной организации высшего образования, задействованных в обеспечении деятельности передовой инженерной школы республиканского значения;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оплата сотрудникам образовательной организации высшего образования, задействованным в обеспечении деятельн</w:t>
      </w:r>
      <w:r>
        <w:rPr>
          <w:rStyle w:val="894"/>
          <w:sz w:val="28"/>
          <w:szCs w:val="28"/>
          <w:shd w:val="clear" w:color="auto" w:fill="auto"/>
        </w:rPr>
        <w:t xml:space="preserve">ости передовой инженерной школы республиканского значения, командировочных расходов, связанных с целями, предусмотренными пунктом 1.3 настоящего Порядка, определяемых коллективным договором, соглашениями, локальными нормативными актами, трудовым договором;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оплата работ, услуг физических и юридическ</w:t>
      </w:r>
      <w:r>
        <w:rPr>
          <w:rStyle w:val="894"/>
          <w:sz w:val="28"/>
          <w:szCs w:val="28"/>
          <w:shd w:val="clear" w:color="auto" w:fill="auto"/>
        </w:rPr>
        <w:t xml:space="preserve">их лиц, в том числе услуг связи, доступа к информационно-телекоммуникационной сети «Интернет», услуг в области информационных технологий, разработки программного обеспечения, необходимых для реализации целей, предусмотренных пунктом 1.3 настоящего Порядка;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приобретение товаров, непроизведенных активов, нематериальных активов, материальных запасов и основных средств, включая приобретение программного обеспечения и оборудования, необходимых для реализации целей, предусмотренных пунктом 1.3 настоящего Порядка.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2.2. Размер гранта составляет 50 000,00 тыс. рублей. </w:t>
      </w:r>
      <w:r/>
    </w:p>
    <w:p>
      <w:pPr>
        <w:pStyle w:val="888"/>
      </w:pPr>
      <w:r/>
      <w:bookmarkStart w:id="19" w:name="sub_114_Копия_1"/>
      <w:r/>
      <w:bookmarkEnd w:id="19"/>
      <w:r>
        <w:rPr>
          <w:rStyle w:val="894"/>
          <w:sz w:val="28"/>
          <w:szCs w:val="28"/>
          <w:shd w:val="clear" w:color="auto" w:fill="auto"/>
        </w:rPr>
        <w:t xml:space="preserve">По итогам отбора гранты предоставляются двум образовательным организациям высшего образования.</w:t>
      </w:r>
      <w:r/>
    </w:p>
    <w:p>
      <w:pPr>
        <w:pStyle w:val="888"/>
      </w:pPr>
      <w:r/>
      <w:bookmarkStart w:id="20" w:name="sub_116"/>
      <w:r/>
      <w:bookmarkEnd w:id="20"/>
      <w:r>
        <w:rPr>
          <w:rStyle w:val="894"/>
          <w:sz w:val="28"/>
          <w:szCs w:val="28"/>
          <w:shd w:val="clear" w:color="auto" w:fill="auto"/>
        </w:rPr>
        <w:t xml:space="preserve">2.3. Результатами предоставления гранта являются: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создание и деятельность передовой инженерной школы республиканского значения в партнерстве с высокотехнологичными компаниями </w:t>
      </w:r>
      <w:r>
        <w:rPr>
          <w:rStyle w:val="894"/>
          <w:color w:val="0a579e"/>
          <w:spacing w:val="-15"/>
          <w:sz w:val="28"/>
          <w:szCs w:val="28"/>
          <w:shd w:val="clear" w:color="auto" w:fill="auto"/>
        </w:rPr>
        <w:t xml:space="preserve">–</w:t>
      </w:r>
      <w:r>
        <w:rPr>
          <w:rStyle w:val="894"/>
          <w:sz w:val="28"/>
          <w:szCs w:val="28"/>
          <w:shd w:val="clear" w:color="auto" w:fill="auto"/>
        </w:rPr>
        <w:t xml:space="preserve"> не менее 1, в том числе предусматривающее: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</w:r>
      <w:r>
        <w:rPr>
          <w:rStyle w:val="894"/>
          <w:sz w:val="28"/>
          <w:szCs w:val="28"/>
          <w:shd w:val="clear" w:color="auto" w:fill="auto"/>
        </w:rPr>
        <w:t xml:space="preserve">разработку программы развития передовой инженерной школы для участия в программе «Передовые инженерные школы» федерального проекта «Университеты для поколения лидеров» в 2026 и 2027 годах </w:t>
      </w:r>
      <w:r>
        <w:rPr>
          <w:rStyle w:val="894"/>
          <w:color w:val="0a579e"/>
          <w:spacing w:val="-15"/>
          <w:sz w:val="28"/>
          <w:szCs w:val="28"/>
          <w:shd w:val="clear" w:color="auto" w:fill="auto"/>
        </w:rPr>
        <w:t xml:space="preserve">–</w:t>
      </w:r>
      <w:r>
        <w:rPr>
          <w:rStyle w:val="894"/>
          <w:sz w:val="28"/>
          <w:szCs w:val="28"/>
          <w:shd w:val="clear" w:color="auto" w:fill="auto"/>
        </w:rPr>
        <w:t xml:space="preserve"> не менее 1;</w:t>
      </w:r>
      <w:r/>
    </w:p>
    <w:p>
      <w:pPr>
        <w:pStyle w:val="922"/>
        <w:ind w:left="0" w:firstLine="720"/>
        <w:jc w:val="both"/>
        <w:widowControl w:val="off"/>
      </w:pPr>
      <w:r>
        <w:rPr>
          <w:rStyle w:val="894"/>
          <w:rFonts w:eastAsia="Symbol"/>
          <w:color w:val="000000"/>
          <w:sz w:val="28"/>
          <w:szCs w:val="28"/>
          <w:shd w:val="clear" w:color="auto" w:fill="auto"/>
          <w:lang w:val="ru-RU" w:eastAsia="zh-CN" w:bidi="hi-IN"/>
        </w:rPr>
      </w:r>
      <w:r>
        <w:rPr>
          <w:rStyle w:val="894"/>
          <w:rFonts w:eastAsia="Symbol"/>
          <w:color w:val="000000"/>
          <w:sz w:val="28"/>
          <w:szCs w:val="28"/>
          <w:shd w:val="clear" w:color="auto" w:fill="auto"/>
          <w:lang w:val="ru-RU" w:eastAsia="zh-CN" w:bidi="hi-IN"/>
        </w:rPr>
        <w:t xml:space="preserve">разработку образовательных программ передовой инженерной школы республиканского значения совместно с квалифицированным заказчиком:</w:t>
      </w:r>
      <w:r/>
    </w:p>
    <w:p>
      <w:pPr>
        <w:pStyle w:val="922"/>
        <w:ind w:left="0" w:firstLine="720"/>
        <w:jc w:val="both"/>
        <w:widowControl w:val="off"/>
      </w:pPr>
      <w:r>
        <w:rPr>
          <w:rStyle w:val="894"/>
          <w:rFonts w:eastAsia="Symbol"/>
          <w:color w:val="000000"/>
          <w:sz w:val="28"/>
          <w:szCs w:val="28"/>
          <w:shd w:val="clear" w:color="auto" w:fill="auto"/>
          <w:lang w:val="ru-RU" w:eastAsia="zh-CN" w:bidi="hi-IN"/>
        </w:rPr>
        <w:t xml:space="preserve">по программам среднего или дополнительного профессионального образования – не менее 1, </w:t>
      </w:r>
      <w:r/>
    </w:p>
    <w:p>
      <w:pPr>
        <w:pStyle w:val="922"/>
        <w:ind w:left="0" w:firstLine="720"/>
        <w:jc w:val="both"/>
        <w:widowControl w:val="off"/>
      </w:pPr>
      <w:r>
        <w:rPr>
          <w:rStyle w:val="894"/>
          <w:rFonts w:eastAsia="Symbol"/>
          <w:color w:val="000000"/>
          <w:sz w:val="28"/>
          <w:szCs w:val="28"/>
          <w:shd w:val="clear" w:color="auto" w:fill="auto"/>
          <w:lang w:val="ru-RU" w:eastAsia="zh-CN" w:bidi="hi-IN"/>
        </w:rPr>
        <w:t xml:space="preserve">по программам высшего образования – не менее 1;</w:t>
      </w:r>
      <w:r/>
    </w:p>
    <w:p>
      <w:pPr>
        <w:pStyle w:val="888"/>
      </w:pPr>
      <w:r>
        <w:rPr>
          <w:rStyle w:val="894"/>
          <w:color w:val="000000"/>
          <w:sz w:val="28"/>
          <w:szCs w:val="28"/>
          <w:shd w:val="clear" w:color="auto" w:fill="auto"/>
        </w:rPr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создание объектов инфраструктуры научных исследований и технологических разработок </w:t>
      </w:r>
      <w:r>
        <w:rPr>
          <w:rStyle w:val="894"/>
          <w:color w:val="000000"/>
          <w:spacing w:val="-15"/>
          <w:sz w:val="28"/>
          <w:szCs w:val="28"/>
          <w:shd w:val="clear" w:color="auto" w:fill="auto"/>
        </w:rPr>
        <w:t xml:space="preserve">–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 </w:t>
      </w:r>
      <w:r>
        <w:rPr>
          <w:rStyle w:val="894"/>
          <w:sz w:val="28"/>
          <w:szCs w:val="28"/>
          <w:shd w:val="clear" w:color="auto" w:fill="auto"/>
        </w:rPr>
        <w:t xml:space="preserve">не менее 1. </w:t>
      </w:r>
      <w:r/>
    </w:p>
    <w:p>
      <w:pPr>
        <w:pStyle w:val="888"/>
      </w:pPr>
      <w:r>
        <w:rPr>
          <w:rStyle w:val="894"/>
          <w:rFonts w:cs="Mangal"/>
          <w:color w:val="000000"/>
          <w:sz w:val="28"/>
          <w:szCs w:val="28"/>
          <w:shd w:val="clear" w:color="auto" w:fill="auto"/>
        </w:rPr>
        <w:t xml:space="preserve">Датой завершения достижения результатов предоставления гранта является      31 декабря 2025 года. </w:t>
      </w:r>
      <w:r/>
    </w:p>
    <w:p>
      <w:pPr>
        <w:pStyle w:val="922"/>
        <w:ind w:left="0" w:firstLine="720"/>
        <w:rPr>
          <w:rFonts w:cs="Wingdings"/>
          <w:shd w:val="clear" w:color="auto" w:fill="ff8000"/>
        </w:rPr>
      </w:pPr>
      <w:r>
        <w:rPr>
          <w:rFonts w:cs="Wingdings"/>
          <w:shd w:val="clear" w:color="auto" w:fill="ff8000"/>
        </w:rPr>
      </w:r>
      <w:r>
        <w:rPr>
          <w:rFonts w:cs="Wingdings"/>
          <w:shd w:val="clear" w:color="auto" w:fill="ff8000"/>
        </w:rPr>
      </w:r>
      <w:r>
        <w:rPr>
          <w:rFonts w:cs="Wingdings"/>
          <w:shd w:val="clear" w:color="auto" w:fill="ff8000"/>
        </w:rPr>
      </w:r>
    </w:p>
    <w:p>
      <w:pPr>
        <w:pStyle w:val="922"/>
        <w:ind w:left="0" w:firstLine="0"/>
        <w:jc w:val="center"/>
      </w:pPr>
      <w:r>
        <w:rPr>
          <w:rStyle w:val="894"/>
          <w:rFonts w:cs="Wingdings"/>
          <w:sz w:val="28"/>
          <w:szCs w:val="28"/>
          <w:shd w:val="clear" w:color="auto" w:fill="auto"/>
        </w:rPr>
        <w:t xml:space="preserve">III. Критерии отбора получателя гранта и требования к образовательным организациям высшего образования</w:t>
      </w:r>
      <w:r/>
    </w:p>
    <w:p>
      <w:pPr>
        <w:pStyle w:val="922"/>
        <w:ind w:left="0" w:firstLine="720"/>
        <w:jc w:val="center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3.1. Критерии отбора получателя гранта:</w:t>
      </w:r>
      <w:r/>
    </w:p>
    <w:p>
      <w:pPr>
        <w:pStyle w:val="888"/>
      </w:pPr>
      <w:r/>
      <w:bookmarkStart w:id="21" w:name="sub_1062"/>
      <w:r/>
      <w:bookmarkEnd w:id="21"/>
      <w:r>
        <w:rPr>
          <w:rStyle w:val="894"/>
          <w:sz w:val="28"/>
          <w:szCs w:val="28"/>
          <w:shd w:val="clear" w:color="auto" w:fill="auto"/>
        </w:rPr>
        <w:t xml:space="preserve">образовательная организация высшего образования является бюджетным или автономным учреждением, имеет лицензи</w:t>
      </w:r>
      <w:r>
        <w:rPr>
          <w:rStyle w:val="894"/>
          <w:sz w:val="28"/>
          <w:szCs w:val="28"/>
          <w:shd w:val="clear" w:color="auto" w:fill="auto"/>
        </w:rPr>
        <w:t xml:space="preserve">ю на осуществление образовательной деятельности не менее чем по одной образовательной программе высшего образования по специальности или направлению подготовки высшего образования, входящим в Перечень специальностей и направлений подготовки высшего образов</w:t>
      </w:r>
      <w:r>
        <w:rPr>
          <w:rStyle w:val="894"/>
          <w:sz w:val="28"/>
          <w:szCs w:val="28"/>
          <w:shd w:val="clear" w:color="auto" w:fill="auto"/>
        </w:rPr>
        <w:t xml:space="preserve">ания по программам бакалавриата, программам специалитета, программам магистратуры, программам ординатуры и программам ассистентуры-стажировки, утвержденный приказом Министерства науки и высшего образования Российской Федерации от 01.02.2022 № 89, а также П</w:t>
      </w:r>
      <w:r>
        <w:rPr>
          <w:rStyle w:val="894"/>
          <w:sz w:val="28"/>
          <w:szCs w:val="28"/>
          <w:shd w:val="clear" w:color="auto" w:fill="auto"/>
        </w:rPr>
        <w:t xml:space="preserve">еречень  специальностей и направлений подготовки высшего образования для подготовки инженерных кадров в рамках реализации проекта «Передовые инженерные школы», утвержденный Министерства науки и высшего образования Российской Федерации от 28.02.2025 № 158;</w:t>
      </w:r>
      <w:r/>
    </w:p>
    <w:p>
      <w:pPr>
        <w:pStyle w:val="888"/>
      </w:pPr>
      <w:r/>
      <w:bookmarkStart w:id="22" w:name="sub_1062_Копия_1_Копия_1"/>
      <w:r/>
      <w:bookmarkStart w:id="23" w:name="sub_1062_Копия_1"/>
      <w:r/>
      <w:bookmarkEnd w:id="22"/>
      <w:r/>
      <w:bookmarkEnd w:id="23"/>
      <w:r>
        <w:rPr>
          <w:rStyle w:val="894"/>
          <w:sz w:val="28"/>
          <w:szCs w:val="28"/>
          <w:shd w:val="clear" w:color="auto" w:fill="auto"/>
        </w:rPr>
        <w:t xml:space="preserve">образовательная организация высшего образования осуществляет деятельность на территории Республики Татарстан и уплачивает налоги в бюджет Республики Татарстан не менее трех лет до даты размещения объявления о проведении отбора;</w:t>
      </w:r>
      <w:r/>
    </w:p>
    <w:p>
      <w:pPr>
        <w:pStyle w:val="888"/>
      </w:pPr>
      <w:r/>
      <w:bookmarkStart w:id="24" w:name="sub_1066"/>
      <w:r/>
      <w:bookmarkEnd w:id="24"/>
      <w:r>
        <w:rPr>
          <w:rStyle w:val="894"/>
          <w:sz w:val="28"/>
          <w:szCs w:val="28"/>
          <w:shd w:val="clear" w:color="auto" w:fill="auto"/>
        </w:rPr>
        <w:t xml:space="preserve">наличие у образовательной организации высшего образования плана мероприятий развития передовой инженерной школы республиканского значения, в том числе реализации образовательных программ инженерного профиля на 3 последующих года;</w:t>
      </w:r>
      <w:r/>
    </w:p>
    <w:p>
      <w:pPr>
        <w:pStyle w:val="888"/>
      </w:pPr>
      <w:r>
        <w:rPr>
          <w:rStyle w:val="894"/>
          <w:rFonts w:eastAsia="Symbol" w:cs="Wingdings"/>
          <w:color w:val="000000"/>
          <w:sz w:val="28"/>
          <w:szCs w:val="28"/>
          <w:shd w:val="clear" w:color="auto" w:fill="auto"/>
          <w:lang w:val="ru-RU" w:eastAsia="zh-CN" w:bidi="hi-IN"/>
        </w:rPr>
        <w:t xml:space="preserve">образовательная организация высшего образова</w:t>
      </w:r>
      <w:r>
        <w:rPr>
          <w:rStyle w:val="894"/>
          <w:rFonts w:eastAsia="Symbol" w:cs="Wingdings"/>
          <w:color w:val="000000"/>
          <w:sz w:val="28"/>
          <w:szCs w:val="28"/>
          <w:shd w:val="clear" w:color="auto" w:fill="auto"/>
          <w:lang w:val="ru-RU" w:eastAsia="zh-CN" w:bidi="hi-IN"/>
        </w:rPr>
        <w:t xml:space="preserve">ния не является участником программы «Передовые инженерные школы» федерального проекта «Университеты для поколения лидеров» на момент подачи заявки, а также не являлась им в течение последних трех лет, предшествующих дате подачи заявки на участие в отборе;</w:t>
      </w:r>
      <w:r>
        <w:rPr>
          <w:rStyle w:val="894"/>
          <w:color w:val="000000"/>
          <w:sz w:val="28"/>
          <w:szCs w:val="28"/>
          <w:shd w:val="clear" w:color="auto" w:fill="auto"/>
        </w:rPr>
        <w:t xml:space="preserve"> 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наличие документов, подтверждающих готовность высокотехнологичной компании или нескольких высокотехнологичных компаний, осуществлять поддержку р</w:t>
      </w:r>
      <w:r>
        <w:rPr>
          <w:rStyle w:val="894"/>
          <w:sz w:val="28"/>
          <w:szCs w:val="28"/>
          <w:shd w:val="clear" w:color="auto" w:fill="auto"/>
        </w:rPr>
        <w:t xml:space="preserve">азвития передовой инженерной школы республиканского значения, а также софинансирование реализации мероприятий плана мероприятий развития передовой инженерной школы республиканского значения в размере не менее 50 процентов от объема финансового обеспечения 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затрат по реализации проекта, на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правленного на создание передовой инженерной школы республиканского значения на базе ведущей образовательной организации высшего образования в Республике Татарстан в партнерстве с высокотехнологичной компанией, выделяемого из бюджета Республики Татарстан. </w:t>
      </w:r>
      <w:r/>
    </w:p>
    <w:p>
      <w:pPr>
        <w:pStyle w:val="888"/>
        <w:shd w:val="clear" w:color="auto" w:fill="ffffff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3.2. Требования, которым должна соответствовать образовательная организация высшего образования по состоянию на даты рассмотрения заявки и заключения соглашения: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образовательная организация высшего образования не является иностранным юридическим лицом, в том числе м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образовательная организация высшего образования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образовательная организация высшего образования не находится в составляемых в рамках реализации полномочий, предусмотренных главой VII Ус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образовательная организация высшего образования не получает средства из бюджета Республики Татарстан на основании иных нормативных правовых актов Республики Татарстан на цели, установленные настоящим Порядком;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образовательная организация высшего образования не является иностранным агентом в соответствии с Федеральным законом от 14 июля 2022 года № 255-ФЗ </w:t>
        <w:br/>
        <w:t xml:space="preserve">«О контроле за деятельностью лиц, находящихся под иностранным влиянием»;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у образовательной организации высшего о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бразования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 в бюджеты бюджетной системы Российской Федерации;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у образовательной организации высшего образования отсутствуют просроченная задолженность по возврату в бюдже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образовательная организация высшего образования не находится в процессе реорганизации (за исключением реорганизации в форме присоединения к образовательной организации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высшего образования другого юридического лица), ликвидации, в отношении нее не введена процедура банкротства, деятельность образовательной организации высшего образования не приостановлена в порядке, предусмотренном законодательством Российской Федерации;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реестре дисквал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образовательной организации высшего образования.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3.3. Проверка участника отбора на соответствие требованиям, определенным пунктом 3.2 настоящего Порядка, осуществляется автоматически в систе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система), в том числе с использованием единой системы межведомственного электронного взаимодействия.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Академия наук Республики Татар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стан не вправе требовать представление документов, подтверждающих соответствие участника отбора требованиям, определенным пунктом 3.2 настоящего Порядка, при наличии соответствующей информации в государственных информационных системах, доступ к которым име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ется у Академии наук Республики Татарстан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Академию наук Республики Татарстан по собственной инициативе.</w:t>
      </w:r>
      <w:r/>
    </w:p>
    <w:p>
      <w:pPr>
        <w:pStyle w:val="888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Подтверждение соответствия участника отбора требованиям, определенным пунктом 3.2 настоящего Порядка, в случае отсутствия технической возможности осуществления автоматическ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/>
    </w:p>
    <w:p>
      <w:pPr>
        <w:pStyle w:val="888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firstLine="0"/>
        <w:jc w:val="center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IV. Порядок формирования и размещения объявления о проведении отбора</w:t>
      </w:r>
      <w:r/>
    </w:p>
    <w:p>
      <w:pPr>
        <w:pStyle w:val="888"/>
        <w:jc w:val="center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4.1. Объявление о проведении отбора размещается не позднее одного календарного дня со дня его формирования Ак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адемией наук Республики Татарстан в системе «Электронный бюджет» после подписания усиленной квалифицированной электронной подписью руководителя Академии наук Республики Татарстан (уполномоченного им лица) и публикации на едином портале информации о гранте.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4.2. Объявление о проведении отбора формируется в электронной форме посредством заполнения Академией наук Республики Татарстан соответствующих экранных 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форм веб-интерфейса системы «Электронный бюджет», подписывается усиленной квалифицированной электронной подписью руководителя Академии наук Республики Татарстан (уполномоченного им лица), публикуется на едином портале, включает в себя следующую информацию: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сроки проведения отбора;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даты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наименование, место нахождения, почтовый адрес, адрес электронной почты Академии наук Республики Татарстан;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результат предоставления гранта в соответствии с пунктом 2.3 настоящего Порядка;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доменное имя и (или) указатели страниц государственной информационной системы в информационно-телекоммуникационной сети «Интернет»;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критерии отбора, определенные пунктом 3.1 настоящего Порядка;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требования к участник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ам отбора, определенные пунктом 3.2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критерии экспертной оценки, значения критериев оценки;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6.1-6.7 настоящего Порядка;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6.8 настоящего Порядка;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правила рассмотрения и оценки заявок в соответствии с пунктами 7.1 - 7.10 настоящего Порядка;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возврата заявок на доработку;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отклонения заявок, а также информацию об основаниях их отклонения в соответствии с пунктом 7.9 настоящего Порядка;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оценки заявок, включающий критерии экспертной оценки и их весовое значение в общей оценке;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экспертной комиссии в оценке заявок;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объем распределяемого гранта в рамках отбора, установленный настоящим Порядком;</w:t>
      </w:r>
      <w:r/>
    </w:p>
    <w:p>
      <w:pPr>
        <w:pStyle w:val="888"/>
        <w:ind w:firstLine="709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правила распределения гранта по результатам отбора, а также предельное количество победителей отбора;</w:t>
      </w:r>
      <w:r/>
    </w:p>
    <w:p>
      <w:pPr>
        <w:pStyle w:val="888"/>
        <w:ind w:firstLine="709"/>
        <w:jc w:val="both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6.9-6.11 настоящего Порядка;</w:t>
      </w:r>
      <w:r/>
    </w:p>
    <w:p>
      <w:pPr>
        <w:pStyle w:val="888"/>
        <w:ind w:firstLine="709"/>
        <w:jc w:val="both"/>
        <w:widowControl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срок, в течение которого победитель отбора должен подписать соглашение в соответствии с пунктом 8.1 настоящего Положения;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порядок и случаи отмены проведения отбора, случаи признания отбора несостоявшимся и случаи заключения соглашения по итогам отбора;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условия признания победителя отбора уклонившимся от заключения соглашения в соответствии с пунктом 8.5 настоящего Порядка;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минимальный проходной балл по итогам рассмотрения и оценки заявок участников отбора;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сроки размещения протокола подведения итогов отбора на едином портале, а также на официальном сайте Академии наук Республики Татарстан  (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https://anrt.tatarstan.ru/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) в сети «Интернет», которые не могут быть позднее 14-го календарного дня, следующего за днем определения победителя отбора.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4.3. Внесение изменений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в объявление о проведении отбора осуществляется в порядке, аналогичном порядку формирования объявления о проведении отбора, установленному пунктом 4.2 настоящего Порядка, не позднее наступления даты окончания приема заявок с соблюдением следующих условий: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10 календарных дней;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при внесении изменений в объявление о проведении отбора не допускается изменение способа отбора;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случае внесения из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пунктом 6.9 настоящего Порядка;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 с использованием системы «Электронный бюджет».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4.4. Объявление об изменении проведения отбора формируется в электронной форме посредством заполнения соответствующих экранных форм веб-интерфейса сис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темы «Электронный бюджет», подписывается усиленной квалифицированной электронной подписью руководителя Академии наук Республики Татарстан (уполномоченного им лица), размещается на едином портале и содержит информацию о причинах изменения проведения отбора.</w:t>
      </w:r>
      <w:r/>
    </w:p>
    <w:p>
      <w:pPr>
        <w:pStyle w:val="888"/>
        <w:ind w:firstLine="709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firstLine="0"/>
        <w:jc w:val="center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V. Порядок отмены проведения отбора</w:t>
      </w:r>
      <w:r/>
    </w:p>
    <w:p>
      <w:pPr>
        <w:pStyle w:val="888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5.1. Размещение Академией наук Республики Татарстан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5.2. Объявление об отмене проведения отбора формируется в электронной форме посредством заполнения соответствующих экранных форм веб-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интерфейса системы «Электронный бюджет», подписывается усиленной квалифицированной электронной подписью руководителя Академии наук Республики Татарстан (уполномоченного им лица), размещается на едином портале и содержит информацию о причинах отмены отбора.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5.3. Случаем отмены отбора является отзыв лимитов бюджетных обязательств, доведенных до Академии наук Республики Татарстан на цели, указанные в пункте 1.3 настоящего Порядка.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5.4. Участники отбора, подавшие заявки, информируются об отмене проведения отбора в системе «Электронный бюджет».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5.5. Отбор считается отмененным со дня размещения объявления о его отмене на едином портале.</w:t>
      </w:r>
      <w:r/>
    </w:p>
    <w:p>
      <w:pPr>
        <w:pStyle w:val="888"/>
        <w:ind w:firstLine="709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5.6. После окончания срока отмены проведения отбора в соответствии с пунктом 5.1 настоящего Порядка и до заключения соглашения с образовательной организ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ацией высшего образования, признанной победителем отбора Академия наук Республики Татарстан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/>
    </w:p>
    <w:p>
      <w:pPr>
        <w:pStyle w:val="888"/>
        <w:ind w:firstLine="709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firstLine="0"/>
        <w:jc w:val="center"/>
        <w:rPr>
          <w:rStyle w:val="894"/>
          <w:rFonts w:ascii="Times New Roman" w:hAnsi="Times New Roman"/>
          <w:color w:val="000000"/>
          <w:sz w:val="28"/>
          <w:szCs w:val="28"/>
        </w:rPr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VI. Порядок формирования и подачи заявок образовательными организациями </w:t>
      </w:r>
      <w:r>
        <w:rPr>
          <w:rStyle w:val="894"/>
          <w:rFonts w:ascii="Times New Roman" w:hAnsi="Times New Roman"/>
          <w:color w:val="000000"/>
          <w:sz w:val="28"/>
          <w:szCs w:val="28"/>
        </w:rPr>
      </w:r>
    </w:p>
    <w:p>
      <w:pPr>
        <w:ind w:firstLine="0"/>
        <w:jc w:val="center"/>
      </w:pP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высшего образования</w:t>
      </w:r>
      <w:r/>
    </w:p>
    <w:p>
      <w:pPr>
        <w:pStyle w:val="888"/>
        <w:ind w:firstLine="0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rFonts w:ascii="Times New Roman" w:hAnsi="Times New Roman" w:eastAsia="DejaVu Sans" w:cs="Times New Roman"/>
          <w:sz w:val="28"/>
          <w:szCs w:val="28"/>
          <w:shd w:val="clear" w:color="auto" w:fill="auto"/>
        </w:rPr>
        <w:t xml:space="preserve">6.1. Образовательная организация высшего образования формирует и подает заявку в сроки, указанные в объявлении о проведении отбора, в электронной форме посредством запо</w:t>
      </w:r>
      <w:r>
        <w:rPr>
          <w:rFonts w:ascii="Times New Roman" w:hAnsi="Times New Roman" w:eastAsia="DejaVu Sans" w:cs="Times New Roman"/>
          <w:sz w:val="28"/>
          <w:szCs w:val="28"/>
          <w:shd w:val="clear" w:color="auto" w:fill="auto"/>
        </w:rPr>
        <w:t xml:space="preserve">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а) учредительных документов образовательной организации высшего образования, а также документов обо всех изменениях к ним, в том числе копию лицензии н</w:t>
      </w:r>
      <w:r>
        <w:rPr>
          <w:rStyle w:val="894"/>
          <w:sz w:val="28"/>
          <w:szCs w:val="28"/>
          <w:shd w:val="clear" w:color="auto" w:fill="auto"/>
        </w:rPr>
        <w:t xml:space="preserve">а осуществление образовательной деятельности не менее чем по одной образовательной программе высшего образования по специальности или направлению подготовки высшего образования, входящим в Перечень специальностей и направлений подготовки высшего образовани</w:t>
      </w:r>
      <w:r>
        <w:rPr>
          <w:rStyle w:val="894"/>
          <w:sz w:val="28"/>
          <w:szCs w:val="28"/>
          <w:shd w:val="clear" w:color="auto" w:fill="auto"/>
        </w:rPr>
        <w:t xml:space="preserve">я по программам бакалавриата, программам специалитета, программам магистратуры, программам ординатуры и программам ассистентуры-стажировки, утвержденный приказом Министерства науки и высшего образования Российской Федерации от 01.02.2022    № 89, а также П</w:t>
      </w:r>
      <w:r>
        <w:rPr>
          <w:rStyle w:val="894"/>
          <w:sz w:val="28"/>
          <w:szCs w:val="28"/>
          <w:shd w:val="clear" w:color="auto" w:fill="auto"/>
        </w:rPr>
        <w:t xml:space="preserve">еречень  специальностей и направлений подготовки высшего образования для подготовки инженерных кадров в рамках реализации проекта «Передовые инженерные школы», утвержденный  Министерства науки и высшего образования Российской Федерации от 28.02.2025 № 158;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б) плана мероприятий развития передовой инженерной школы республиканского значения, в том числе реализации образовательных программ инженерного профиля на 3 последующих года;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в) письма (писем), подписанное руководителем высокотехнологичной компании, в партнерстве с которой планируется осуществлять деятельность передовой инженерной школы республиканского значения, включающее: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согласие высокотехнологичной компании или высок</w:t>
      </w:r>
      <w:r>
        <w:rPr>
          <w:rStyle w:val="894"/>
          <w:sz w:val="28"/>
          <w:szCs w:val="28"/>
          <w:shd w:val="clear" w:color="auto" w:fill="auto"/>
        </w:rPr>
        <w:t xml:space="preserve">отехнологичных компаний осуществлять поддержку создания и развития передовой инженерной школы республиканского значения в связи со значимостью реализации проекта создания передовой инженерной школы республиканского значения для реального сектора экономики;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обязательства высокотехнологичной компании или высокотехнологичных компаний по софинансированию реализации плана мероприятий развития передовой инженерн</w:t>
      </w:r>
      <w:r>
        <w:rPr>
          <w:rStyle w:val="894"/>
          <w:sz w:val="28"/>
          <w:szCs w:val="28"/>
          <w:shd w:val="clear" w:color="auto" w:fill="auto"/>
        </w:rPr>
        <w:t xml:space="preserve">ой школы республиканского значения, в том числе реализации образовательных программ инженерного профиля на 3 последующих года с указанием объема предоставляемых средств в году проведения конкурса, но не менее 50 процентов от объема финансового обеспечения 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затрат по реализации проекта, </w:t>
      </w:r>
      <w:r>
        <w:rPr>
          <w:rStyle w:val="894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направленного на создание передовой инженерной школы республиканского значения на базе ведущей образовательной организации высшего образования в Республике Татарстан в партнерстве с высокотехнологичной компанией, выделяемого из бюджета Республики Татарстан</w:t>
      </w:r>
      <w:r>
        <w:rPr>
          <w:rStyle w:val="894"/>
          <w:sz w:val="28"/>
          <w:szCs w:val="28"/>
          <w:shd w:val="clear" w:color="auto" w:fill="auto"/>
        </w:rPr>
        <w:t xml:space="preserve">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г) согласия органа государственной власти (государственного органа), осуществляющего функции и полномочия учредителя в отношении образовательной организации высшего образования, на участие образовательной организации высшего образования в отборе;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д) гарантийного письма, подписанного руководителем образовательной организации высшего образования, о том, что образовательная организация высшего образования не является иностранным юридическим лицом, в том числе офшорной компанией, а та</w:t>
      </w:r>
      <w:r>
        <w:rPr>
          <w:rStyle w:val="894"/>
          <w:sz w:val="28"/>
          <w:szCs w:val="28"/>
          <w:shd w:val="clear" w:color="auto" w:fill="auto"/>
        </w:rPr>
        <w:t xml:space="preserve">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е) гарантийного письма, подписанного руководителем образовательной органи</w:t>
      </w:r>
      <w:r>
        <w:rPr>
          <w:rStyle w:val="894"/>
          <w:sz w:val="28"/>
          <w:szCs w:val="28"/>
          <w:shd w:val="clear" w:color="auto" w:fill="auto"/>
        </w:rPr>
        <w:t xml:space="preserve">зации высшего образования, о том, что образовательная организация высшего образования не получает средства из бюджета Республики Татарстан на основании иных нормативных правовых актов Республики Татарстан на цели, указанные в пункте 1.3 настоящего Порядка;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ж) гарантийного письма, подписанного руководителем образовательной организации высшего образования, о том, что образовательная организация высшего образования не имеет просроченной задолженности по возврату в бюдже</w:t>
      </w:r>
      <w:r>
        <w:rPr>
          <w:rStyle w:val="894"/>
          <w:sz w:val="28"/>
          <w:szCs w:val="28"/>
          <w:shd w:val="clear" w:color="auto" w:fill="auto"/>
        </w:rPr>
        <w:t xml:space="preserve">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Татарстан).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з) сметы расходов по направлениям, установленным в пункте 2.1 настоящего Порядка, утвержденной руководителем образовательной организации высшего образования.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6.2. Образовательная организация высшего образования вправе по собственной инициативе представить </w:t>
      </w:r>
      <w:r>
        <w:rPr>
          <w:rStyle w:val="894"/>
          <w:rFonts w:ascii="Times New Roman" w:hAnsi="Times New Roman" w:eastAsia="DejaVu Sans" w:cs="Times New Roman"/>
          <w:sz w:val="28"/>
          <w:szCs w:val="28"/>
          <w:shd w:val="clear" w:color="auto" w:fill="auto"/>
        </w:rPr>
        <w:t xml:space="preserve">электронные копии следующих документов</w:t>
      </w:r>
      <w:r>
        <w:rPr>
          <w:rStyle w:val="894"/>
          <w:sz w:val="28"/>
          <w:szCs w:val="28"/>
          <w:shd w:val="clear" w:color="auto" w:fill="auto"/>
        </w:rPr>
        <w:t xml:space="preserve">: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а) справки об исполнении обязанности по уплате налогов, сборов, страховых взносов, пеней, штрафов, процентов по состоянию на дату формирования справки на основании данн</w:t>
      </w:r>
      <w:r>
        <w:rPr>
          <w:rStyle w:val="894"/>
          <w:sz w:val="28"/>
          <w:szCs w:val="28"/>
          <w:shd w:val="clear" w:color="auto" w:fill="auto"/>
        </w:rPr>
        <w:t xml:space="preserve">ых налогового органа в электронной форме по телекоммуникационным каналам связи или через личный кабинет налогоплательщика либо на бумажном носителе по форме, утвержденной приказом Федеральной налоговой службы от 23 ноября 2022 г. № ЕД-7-8/1123@ «Об утвержд</w:t>
      </w:r>
      <w:r>
        <w:rPr>
          <w:rStyle w:val="894"/>
          <w:sz w:val="28"/>
          <w:szCs w:val="28"/>
          <w:shd w:val="clear" w:color="auto" w:fill="auto"/>
        </w:rPr>
        <w:t xml:space="preserve">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форме»;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б) выписки из реестра дисквалифицированных лиц и (или) справку об отсутствии запраши</w:t>
      </w:r>
      <w:r>
        <w:rPr>
          <w:rStyle w:val="894"/>
          <w:sz w:val="28"/>
          <w:szCs w:val="28"/>
          <w:shd w:val="clear" w:color="auto" w:fill="auto"/>
        </w:rPr>
        <w:t xml:space="preserve">ваемой информации по формам, утвержденным приказом Федеральной налоговой службы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</w:t>
      </w:r>
      <w:r>
        <w:rPr>
          <w:rStyle w:val="894"/>
          <w:sz w:val="28"/>
          <w:szCs w:val="28"/>
          <w:shd w:val="clear" w:color="auto" w:fill="auto"/>
        </w:rPr>
        <w:t xml:space="preserve">ных лиц и справки об отсутствии запрашиваемой информации», на руководителя, членов коллегиального исполнительного органа, лиц, исполняющих функции единоличного исполнительного органа, или главного бухгалтера образовательной организации высшего образования;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в) сведений из перечня организаций и физических лиц, в отношении которых имеются сведения об их причастности к экстремистской деятельности или терроризму, и перечня организаций и физических лиц,</w:t>
      </w:r>
      <w:r>
        <w:rPr>
          <w:rStyle w:val="894"/>
          <w:sz w:val="28"/>
          <w:szCs w:val="28"/>
          <w:shd w:val="clear" w:color="auto" w:fill="auto"/>
        </w:rPr>
        <w:t xml:space="preserve"> связанных с террористическими организациями и террористами или с распространением оружия массового уничтожения, формируемых Федеральной службой по финансовому мониторингу, об отсутствии образовательной организации высшего образования в указанных перечнях;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г) гарантийного письма, подписанного руководителем образовательной</w:t>
      </w:r>
      <w:r>
        <w:rPr>
          <w:rStyle w:val="894"/>
          <w:sz w:val="28"/>
          <w:szCs w:val="28"/>
          <w:shd w:val="clear" w:color="auto" w:fill="auto"/>
        </w:rPr>
        <w:t xml:space="preserve"> организации высшего образования, о том, что образовательная организация высшего образования не находится в процессе реорганизации (за исключением реорганизации в форме присоединения к образовательной организации высшего образования другого юридического ли</w:t>
      </w:r>
      <w:r>
        <w:rPr>
          <w:rStyle w:val="894"/>
          <w:sz w:val="28"/>
          <w:szCs w:val="28"/>
          <w:shd w:val="clear" w:color="auto" w:fill="auto"/>
        </w:rPr>
        <w:t xml:space="preserve">ца), ликвидации, в отношении образовательной организации высшего образования не введена процедура банкротства, деятельность образовательной организации высшего образования не приостановлена в порядке, предусмотренном законодательством Российской Федерации;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д) гарантийного письма, подписанного руководителем образовательной организ</w:t>
      </w:r>
      <w:r>
        <w:rPr>
          <w:rStyle w:val="894"/>
          <w:sz w:val="28"/>
          <w:szCs w:val="28"/>
          <w:shd w:val="clear" w:color="auto" w:fill="auto"/>
        </w:rPr>
        <w:t xml:space="preserve">ации высшего образования, о том, что образовательная организация высшего образования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В случае непредставления образовательной организацией высшего образования документов, указанных в настоящем пункте, Академия наук Республики Татарстан запрашивает указанные документы в порядке межведомственного информационного взаимодействия.</w:t>
      </w:r>
      <w:r/>
    </w:p>
    <w:p>
      <w:pPr>
        <w:pStyle w:val="906"/>
        <w:ind w:firstLine="709"/>
        <w:spacing w:before="0" w:after="0" w:line="240" w:lineRule="auto"/>
      </w:pPr>
      <w:r>
        <w:rPr>
          <w:rStyle w:val="894"/>
          <w:sz w:val="28"/>
          <w:szCs w:val="28"/>
          <w:shd w:val="clear" w:color="auto" w:fill="auto"/>
        </w:rPr>
        <w:t xml:space="preserve">Каждая образовательная организация высшего образования вправе подать не более одной заявки.</w:t>
      </w:r>
      <w:r/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6.3. Заявка должна содержать следующие сведения: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а) информацию об </w:t>
      </w:r>
      <w:bookmarkStart w:id="25" w:name="_Hlk198549455"/>
      <w:r>
        <w:rPr>
          <w:sz w:val="28"/>
          <w:szCs w:val="28"/>
          <w:shd w:val="clear" w:color="auto" w:fill="auto"/>
        </w:rPr>
        <w:t xml:space="preserve">образовательной организации высшего образования</w:t>
      </w:r>
      <w:bookmarkEnd w:id="25"/>
      <w:r>
        <w:rPr>
          <w:sz w:val="28"/>
          <w:szCs w:val="28"/>
          <w:shd w:val="clear" w:color="auto" w:fill="auto"/>
        </w:rPr>
        <w:t xml:space="preserve">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полное и сокращенное наименование образовательной организации высшего образования;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основной государственный регистрационный номер образовательной организации высшего образования;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идентификационный номер налогоплательщика;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дату государственной регистрации образовательной организации высшего образования;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адрес юридического лица;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информация о руководителе участника отбора (фамилия, имя, отчество (при наличии), идентификационный номер налогоплательщика, должность);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б) информация и документы, подтверждающие соответствие участника отбора установленным в объявлении о проведении отбора требованиям;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в) подтверждение согласия на публикацию (размещение) в сети «Интернет» информации об образовательной организации высшего образования, о подаваемой образовательной организацией высшего образования заявке, а</w:t>
      </w:r>
      <w:r>
        <w:rPr>
          <w:rStyle w:val="894"/>
          <w:sz w:val="28"/>
          <w:szCs w:val="28"/>
          <w:shd w:val="clear" w:color="auto" w:fill="auto"/>
        </w:rPr>
        <w:t xml:space="preserve"> также иной информации об образовательной организации высшего образования,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«Электронный бюджет»;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г) предлагаемые образовательной организацией высшего образования значения результата предоставления гран</w:t>
      </w:r>
      <w:r>
        <w:rPr>
          <w:rStyle w:val="894"/>
          <w:sz w:val="28"/>
          <w:szCs w:val="28"/>
          <w:shd w:val="clear" w:color="auto" w:fill="auto"/>
        </w:rPr>
        <w:t xml:space="preserve">та, указанные в пункте 2.3 настоящего Порядка, значение запрашиваемого образовательной организацией высшего образования размера гранта, который не может быть выше (ниже) максимального (минимального) размера, установленного в объявлении о проведении отбора;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д) информация по каждому указанному в объявлении о проведении отбора критерию оценки, сведения, документы и материалы, подтверждающие такую информацию.</w:t>
      </w:r>
      <w:r/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6.4. Заявка подписывается усиленной квалифицированной электронной подписью руководителя образовательной организации высшего образования или уполномоченного им лица.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6.5. Ответственность за полноту и достоверность информации и документов, содержащихся в заявке, а также за своевременность их представления несет образовательная организация высшего образования в соответствии с законодательством Российской Федерации.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sz w:val="28"/>
          <w:szCs w:val="28"/>
          <w:shd w:val="clear" w:color="auto" w:fill="auto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6.7. Датой представления</w:t>
      </w:r>
      <w:r>
        <w:rPr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</w:rPr>
        <w:t xml:space="preserve">образовательной организации высшего образования заявки считается день подписания</w:t>
      </w:r>
      <w:r>
        <w:rPr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</w:rPr>
        <w:t xml:space="preserve">образовательной организацией высшего образования заявки с присвоением ей регистрационного номера в системе «Электронный бюджет».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6.8.</w:t>
      </w:r>
      <w:r>
        <w:rPr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</w:rPr>
        <w:t xml:space="preserve">О</w:t>
      </w:r>
      <w:r>
        <w:rPr>
          <w:sz w:val="28"/>
          <w:szCs w:val="28"/>
          <w:shd w:val="clear" w:color="auto" w:fill="auto"/>
        </w:rPr>
        <w:t xml:space="preserve">бразовательная организация высшего образования вправе отозвать заявку в любое время до даты окончания проведения отбора. При необходимости образовательная организация высшего образования вправе подать заявку повторно в срок, определенный для подачи заявок.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6.9. В</w:t>
      </w:r>
      <w:r>
        <w:rPr>
          <w:sz w:val="28"/>
          <w:szCs w:val="28"/>
          <w:shd w:val="clear" w:color="auto" w:fill="auto"/>
        </w:rPr>
        <w:t xml:space="preserve">несение изменений в заявку или отзыв заявки осуществляется образовательной организацией высшего образования в порядке, аналогичном порядку формирования заявки образовательной организацией высшего образования, установленному в пункте 5.1 настоящего Порядка.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6.10. Любая образовательная организация высшего образования со дня размещения объявления о проведении отбора на едином портале не позднее пят</w:t>
      </w:r>
      <w:r>
        <w:rPr>
          <w:sz w:val="28"/>
          <w:szCs w:val="28"/>
          <w:shd w:val="clear" w:color="auto" w:fill="auto"/>
        </w:rPr>
        <w:t xml:space="preserve">ого рабочего дня до дня завершения подачи заявок вправе направить в Академию наук Республики Татарстан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6.11. Академия наук</w:t>
      </w:r>
      <w:r>
        <w:rPr>
          <w:sz w:val="28"/>
          <w:szCs w:val="28"/>
          <w:shd w:val="clear" w:color="auto" w:fill="auto"/>
        </w:rPr>
        <w:t xml:space="preserve"> Республики Татарстан в ответ на запрос, указанный в пункте 6.10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 </w:t>
      </w:r>
      <w:r>
        <w:rPr>
          <w:sz w:val="28"/>
          <w:szCs w:val="28"/>
          <w:shd w:val="clear" w:color="auto" w:fill="auto"/>
        </w:rPr>
        <w:t xml:space="preserve">путем формирования в системе «Электронный бюджет» соответствующего разъяснения. Представленное Академией наук Республики Татарстан разъяснение положений объявления о проведении отбора не должно изменять суть информации, содержащейся в указанном объявлении.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Доступ к разъяснению, формируемому в системе «Электронный бюджет» в соответствии с абзацем первым настоящего пункта, предоставляется всем образовательным организациям высшего образования.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ind w:firstLine="0"/>
        <w:jc w:val="center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VII. Порядок рассмотрения заявок, а также определения победившей в отборе </w:t>
      </w:r>
      <w:r>
        <w:rPr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ind w:firstLine="0"/>
        <w:jc w:val="center"/>
      </w:pPr>
      <w:r>
        <w:rPr>
          <w:sz w:val="28"/>
          <w:szCs w:val="28"/>
          <w:shd w:val="clear" w:color="auto" w:fill="auto"/>
        </w:rPr>
        <w:t xml:space="preserve">образовательной организации высшего образования</w:t>
      </w:r>
      <w:r>
        <w:rPr>
          <w:shd w:val="clear" w:color="auto" w:fill="auto"/>
        </w:rPr>
      </w:r>
      <w:r/>
    </w:p>
    <w:p>
      <w:pPr>
        <w:pStyle w:val="888"/>
        <w:ind w:firstLine="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7.1. В целях рассмотрения заявок Академией наук Республики Татарстан создается экспертная комиссия, </w:t>
      </w:r>
      <w:r>
        <w:rPr>
          <w:sz w:val="28"/>
          <w:szCs w:val="28"/>
          <w:shd w:val="clear" w:color="auto" w:fill="auto"/>
        </w:rPr>
        <w:t xml:space="preserve">в которую могут быть включены представители Академии наук Республики Татарстан, Министерства образования и науки Республики Татарстан, заинтересованных республиканских органов исполнительной власти, высокотехнологичных компаний, экспертного сообщества, нау</w:t>
      </w:r>
      <w:r>
        <w:rPr>
          <w:sz w:val="28"/>
          <w:szCs w:val="28"/>
          <w:shd w:val="clear" w:color="auto" w:fill="auto"/>
        </w:rPr>
        <w:t xml:space="preserve">чных организаций и образовательных организаций высшего образования. Состав экспертной комиссии утверждается приказом Академии наук Республики Татарстан. Общее количество членов экспертной комиссии должно составлять не менее 5 человек, включая председателя.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Порядок работы экспертной комиссии утверждается приказом Академии наук Республики Татарстан.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7.2. Экспертная комиссия формируется из председателя экспертной комиссии, заместителя председателя экспертной комиссии, секретаря экспертной комиссии и членов экспертной комиссии.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Председатель экспертной комиссии осуществляет руководство деятельностью экспертной комиссии, утверждает решение экспертной комиссии.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При отсутствии председателя экспертной комиссии его функции исполняет по его поручению заместитель председателя экспертной комиссии.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Секретарь экспертной комиссии осуществляет функции по организации деятельности экспертной комиссии.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7.3. Решения экспертной комиссии принимаются открытым голосованием большинством голосов присутствующих на заседании экспертной комиссии членов. В случае равенства голосов голос председателя является решающим.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Заседание экспертной комиссии считается правомочным, если на нем присутствуют не менее половины ее членов.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7.4. Не позднее одного рабочего дня, следующего за днем оконч</w:t>
      </w:r>
      <w:r>
        <w:rPr>
          <w:sz w:val="28"/>
          <w:szCs w:val="28"/>
          <w:shd w:val="clear" w:color="auto" w:fill="auto"/>
        </w:rPr>
        <w:t xml:space="preserve">ания срока подачи заявок, установленного в объявлении о проведении отбора, в системе «Электронный бюджет» открывается доступ Академии наук Республики Татарстан, а также экспертной комиссии к поданным участниками отбора заявкам для их рассмотрения и оценки.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Рассмотрение и оценка заявок осуществляются в системе «Электронный бюджет» в течение 15 рабочих дней, следующих за днем открытия доступа Академии наук Республики Татарстан и экспертной комиссии для рассмотрения заявок. 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</w:t>
      </w:r>
      <w:r>
        <w:rPr>
          <w:sz w:val="28"/>
          <w:szCs w:val="28"/>
          <w:shd w:val="clear" w:color="auto" w:fill="auto"/>
        </w:rPr>
        <w:t xml:space="preserve">.5. Экспертная комиссия не позднее третьего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регистрационный номер заявки;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дата и время поступления заявки;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полное наименование образовательной организации высшего образования;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адрес юридического лица;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запрашиваемый образовательной организацией высшего образования размер гранта.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7.6. Протокол вскрытия заявок формируется на едином портале автоматически и подписывается усиленной </w:t>
      </w:r>
      <w:r>
        <w:rPr>
          <w:sz w:val="28"/>
          <w:szCs w:val="28"/>
          <w:shd w:val="clear" w:color="auto" w:fill="auto"/>
        </w:rPr>
        <w:t xml:space="preserve">квалифицированной электронной подписью председателя экспертной комиссии (уполномоченного им лица) и членов экспертной комиссии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7.7. Заявка признается надлежащей, если она соответствует требованиям, указанным в объявлении о проведении отбора, и если отсутствуют основания для ее отклонения.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Решение о соответс</w:t>
      </w:r>
      <w:r>
        <w:rPr>
          <w:sz w:val="28"/>
          <w:szCs w:val="28"/>
          <w:shd w:val="clear" w:color="auto" w:fill="auto"/>
        </w:rPr>
        <w:t xml:space="preserve">твии заявки требованиям, указанным в объявлении о проведении отбора, принимается экспертной комиссией на дату получения результатов проверки представленных образовательной организацией высшего образования информации и документов, поданных в составе заявки.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</w:pPr>
      <w:r>
        <w:rPr>
          <w:sz w:val="28"/>
          <w:szCs w:val="28"/>
          <w:shd w:val="clear" w:color="auto" w:fill="auto"/>
        </w:rPr>
        <w:t xml:space="preserve">7.8. </w:t>
      </w:r>
      <w:r>
        <w:rPr>
          <w:rStyle w:val="894"/>
          <w:sz w:val="28"/>
          <w:szCs w:val="28"/>
          <w:shd w:val="clear" w:color="auto" w:fill="auto"/>
        </w:rPr>
        <w:t xml:space="preserve">Заявка отклоняется в случае наличия оснований для отклонения заявки, предусмотренных пунктом 7.9 настоящего Порядка.</w:t>
      </w:r>
      <w:r/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7.9. Основаниями для отклонения заявки являются: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несоответствие образовательной организации высшего образования  критериям и требованиям, определенным настоящим Порядком;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непредставление (представление не в полном объеме) документов, определенных настоящим Порядком;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несоответствие представленных документов и (или) заявки требованиям, установленным в объявлении о проведении отбора и определенным настоящим Порядком;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недостоверность информации, содержащейся в документах, представленных в составе заявки;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подача образовательной организации высшего образования заявки после даты и (или) времени, определенных для подачи заявок.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7.10. По результатам рассмотрения и оценки заявок не позднее одного рабочего дня со дня окончания срока рассмотрения и оценки заявок подготавливается протокол рассмотрени</w:t>
      </w:r>
      <w:r>
        <w:rPr>
          <w:sz w:val="28"/>
          <w:szCs w:val="28"/>
          <w:shd w:val="clear" w:color="auto" w:fill="auto"/>
        </w:rPr>
        <w:t xml:space="preserve">я заявок, включающий информацию о количестве поступивших и рассмотренных заявок, а также информацию по каждой образовательной организации высшего образования о признании ее заявки надлежащей или об отклонении ее заявки с указанием оснований для отклонения.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widowControl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7.11. Протокол рассмотрения заявок формируется на едином портале автоматически на основании результатов рассмотрения и оценки заявок и подпи</w:t>
      </w:r>
      <w:r>
        <w:rPr>
          <w:sz w:val="28"/>
          <w:szCs w:val="28"/>
          <w:shd w:val="clear" w:color="auto" w:fill="auto"/>
        </w:rPr>
        <w:t xml:space="preserve">сывается усиленной квалифицированной электронной подписью председателя экспертной комиссии и членов экспертной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widowControl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Внесение изменений в протокол рассмотрения заявок осуществляется не позднее 10 календарных дней с</w:t>
      </w:r>
      <w:r>
        <w:rPr>
          <w:sz w:val="28"/>
          <w:szCs w:val="28"/>
          <w:shd w:val="clear" w:color="auto" w:fill="auto"/>
        </w:rPr>
        <w:t xml:space="preserve">о дня подписания первой версии протокола рассмотрения заявок путем формирования новой версии указанного протокола в порядке, аналогичном порядку его формирования, установленному абзацем первым настоящего пункта, с указанием причин внесения таких изменений.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09"/>
        <w:widowControl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7.12. В случае если в целях полного,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 документам</w:t>
      </w:r>
      <w:r>
        <w:rPr>
          <w:sz w:val="28"/>
          <w:szCs w:val="28"/>
          <w:shd w:val="clear" w:color="auto" w:fill="auto"/>
        </w:rPr>
        <w:t xml:space="preserve"> и информации, Академией наук Республики Татарстан осуществляется запрос у участников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09"/>
        <w:widowControl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7.13. В запросе, указанном в пункте 7.12 настоящего Порядка, Академия наук Республики Тат</w:t>
      </w:r>
      <w:r>
        <w:rPr>
          <w:sz w:val="28"/>
          <w:szCs w:val="28"/>
          <w:shd w:val="clear" w:color="auto" w:fill="auto"/>
        </w:rPr>
        <w:t xml:space="preserve">арстан устанавливает срок представления образовательными организациями высшего образования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09"/>
        <w:widowControl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7.14. В случае если образовательная организация высшего образования в ответ на запрос, указанный в пункте 7.12 настоящего Порядка, не п</w:t>
      </w:r>
      <w:r>
        <w:rPr>
          <w:sz w:val="28"/>
          <w:szCs w:val="28"/>
          <w:shd w:val="clear" w:color="auto" w:fill="auto"/>
        </w:rPr>
        <w:t xml:space="preserve">редставила запрашиваемые документы и информацию в срок, установленный соответствующим запросом с учетом положений пункта 7.13 настоящего Порядка, информация об этом включается в протокол рассмотрения заявок, предусмотренный пунктом 7.10 настоящего Порядка.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7.15. Уч</w:t>
      </w:r>
      <w:r>
        <w:rPr>
          <w:sz w:val="28"/>
          <w:szCs w:val="28"/>
          <w:shd w:val="clear" w:color="auto" w:fill="auto"/>
        </w:rPr>
        <w:t xml:space="preserve">астник отбора формирует и представляет в систему «Электронный бюджет» информацию и документы, запрашиваемые в соответствии с пунктом 7.12 настоящего Порядка, в сроки, установленные соответствующим запросом с учетом положений пункта 7.13 настоящего Порядка.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7.16. Отбор признается несостоявшимся в следующих случаях: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а) по окончании срока подачи заявок не подано ни одной заявки;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б) по результатам рассмотрения заявок отклонены все заявки;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в) по результатам оценки заявок ни одна из заявок не набрала балл, больший или равный установленному в объявлении о проведении отбора минимальному проходному баллу.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7.17. Критерии и значения экспертной оценки заявок по критериям оценки заявок приведены в Приложении к настоящему Порядку.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Итоговый балл, полученный образовательной организацией высшего образования рассчитывается по формуле:</w:t>
      </w:r>
      <w:r/>
    </w:p>
    <w:p>
      <w:pPr>
        <w:pStyle w:val="888"/>
        <w:jc w:val="center"/>
        <w:rPr>
          <w:shd w:val="clear" w:color="auto" w:fill="auto"/>
        </w:rPr>
      </w:pPr>
      <w:r/>
      <m:oMathPara>
        <m:oMathParaPr>
          <m:jc m:val="center"/>
        </m:oMathParaPr>
        <m:oMath>
          <m:r>
            <m:rPr/>
            <m:t>С</m:t>
          </m:r>
          <m:r>
            <m:rPr/>
            <m:t>=</m:t>
          </m:r>
          <m:nary>
            <m:naryPr>
              <m:chr m:val="∑"/>
              <m:grow m:val="off"/>
              <m:ctrlPr/>
            </m:naryPr>
            <m:sub>
              <m:r>
                <m:rPr/>
                <m:t>i</m:t>
              </m:r>
              <m:r>
                <m:rPr/>
                <m:t>=</m:t>
              </m:r>
              <m:r>
                <m:rPr/>
                <m:t>1</m:t>
              </m:r>
            </m:sub>
            <m:sup>
              <m:r>
                <m:rPr/>
                <m:t>6</m:t>
              </m:r>
            </m:sup>
            <m:e>
              <m:r>
                <m:rPr/>
                <m:t>Ki</m:t>
              </m:r>
            </m:e>
          </m:nary>
        </m:oMath>
      </m:oMathPara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jc w:val="left"/>
      </w:pPr>
      <w:r>
        <w:rPr>
          <w:rStyle w:val="894"/>
          <w:shd w:val="clear" w:color="auto" w:fill="auto"/>
        </w:rPr>
        <w:t xml:space="preserve">где:</w:t>
      </w:r>
      <w:r/>
    </w:p>
    <w:p>
      <w:pPr>
        <w:pStyle w:val="906"/>
        <w:ind w:left="737" w:right="0" w:firstLine="0"/>
        <w:jc w:val="both"/>
        <w:spacing w:before="0" w:after="140" w:line="276" w:lineRule="auto"/>
        <w:widowControl w:val="off"/>
      </w:pPr>
      <w:r>
        <w:rPr>
          <w:rStyle w:val="894"/>
          <w:shd w:val="clear" w:color="auto" w:fill="auto"/>
        </w:rPr>
        <w:t xml:space="preserve">С – общее количество набранных баллов;</w:t>
      </w:r>
      <w:r/>
    </w:p>
    <w:p>
      <w:pPr>
        <w:pStyle w:val="906"/>
        <w:ind w:left="737" w:right="0" w:firstLine="0"/>
        <w:jc w:val="both"/>
        <w:spacing w:before="0" w:after="140" w:line="276" w:lineRule="auto"/>
        <w:widowControl w:val="off"/>
      </w:pPr>
      <w:r>
        <w:rPr>
          <w:rStyle w:val="894"/>
          <w:shd w:val="clear" w:color="auto" w:fill="auto"/>
        </w:rPr>
        <w:t xml:space="preserve">Ki – балл по i-тому критерию.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Суммарно образовательной организации высшего образования может быть присвоено не более 100 баллов. 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7.18. Ранжирование поступивших заявок осуществляется исходя из лучших условий достижения результата предоставления </w:t>
      </w:r>
      <w:r>
        <w:rPr>
          <w:rStyle w:val="894"/>
          <w:sz w:val="28"/>
          <w:szCs w:val="28"/>
          <w:shd w:val="clear" w:color="auto" w:fill="auto"/>
        </w:rPr>
        <w:t xml:space="preserve">гранта</w:t>
      </w:r>
      <w:r>
        <w:rPr>
          <w:rStyle w:val="894"/>
          <w:sz w:val="28"/>
          <w:szCs w:val="28"/>
          <w:shd w:val="clear" w:color="auto" w:fill="auto"/>
        </w:rPr>
        <w:t xml:space="preserve">, а также характеристик результата предоставления </w:t>
      </w:r>
      <w:r>
        <w:rPr>
          <w:rStyle w:val="894"/>
          <w:sz w:val="28"/>
          <w:szCs w:val="28"/>
          <w:shd w:val="clear" w:color="auto" w:fill="auto"/>
        </w:rPr>
        <w:t xml:space="preserve">гранта</w:t>
      </w:r>
      <w:r>
        <w:rPr>
          <w:rStyle w:val="894"/>
          <w:sz w:val="28"/>
          <w:szCs w:val="28"/>
          <w:shd w:val="clear" w:color="auto" w:fill="auto"/>
        </w:rPr>
        <w:t xml:space="preserve"> в порядке убывания баллов по итогам оценки заявок и очередности поступления заявок в случае равенства количества баллов.</w:t>
      </w:r>
      <w:r/>
    </w:p>
    <w:p>
      <w:pPr>
        <w:pStyle w:val="888"/>
      </w:pPr>
      <w:r>
        <w:rPr>
          <w:rStyle w:val="894"/>
          <w:sz w:val="28"/>
          <w:szCs w:val="28"/>
          <w:shd w:val="clear" w:color="auto" w:fill="auto"/>
        </w:rPr>
        <w:t xml:space="preserve">Минимальным проходным баллом по итогам рассмотрения и оценки заявок образовательных организаций высшего образования является 50 баллов.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7.19. Победителями отбора признаются образовательные организации высшего образования, заявки которых заняли первые два места в</w:t>
      </w:r>
      <w:r>
        <w:rPr>
          <w:rStyle w:val="894"/>
          <w:shd w:val="clear" w:color="auto" w:fill="auto"/>
        </w:rPr>
        <w:t xml:space="preserve"> </w:t>
      </w:r>
      <w:r>
        <w:rPr>
          <w:rStyle w:val="894"/>
          <w:sz w:val="28"/>
          <w:szCs w:val="28"/>
          <w:shd w:val="clear" w:color="auto" w:fill="auto"/>
        </w:rPr>
        <w:t xml:space="preserve">рейтинге, сформированном экспертной комиссией по результатам ранжирования поступивших заявок, указанного в объявлении о проведении отбора, и в пределах лимита распределяемого гранта, указанного в объявлении о проведении отбора.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7.20. При указании в протоколе подведения итогов отбора размера гранта, предусмотренного для предоставления образовательной организации высшего образования в соответствии с пунктом 7.21 настоящего П</w:t>
      </w:r>
      <w:r>
        <w:rPr>
          <w:rStyle w:val="894"/>
          <w:sz w:val="28"/>
          <w:szCs w:val="28"/>
          <w:shd w:val="clear" w:color="auto" w:fill="auto"/>
        </w:rPr>
        <w:t xml:space="preserve">орядка, в случае несоответствия запрашиваемого им размера гранта установленному размеру гранта настоящим Порядком экспертная комиссия может скорректировать размер гранта, предусмотренного для предоставления образовательной организации высшего образования. 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7.21. В целях завершения отбора и определения победившего в отборе учреждения формируется протокол подведения итогов отбора. Протокол подведения итогов отбора</w:t>
      </w:r>
      <w:r>
        <w:rPr>
          <w:rStyle w:val="894"/>
          <w:sz w:val="28"/>
          <w:szCs w:val="28"/>
          <w:shd w:val="clear" w:color="auto" w:fill="auto"/>
        </w:rPr>
        <w:t xml:space="preserve">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и членов экспертной комиссии в системе «Электронный бюджет», а также размещае</w:t>
      </w:r>
      <w:r>
        <w:rPr>
          <w:rStyle w:val="894"/>
          <w:sz w:val="28"/>
          <w:szCs w:val="28"/>
          <w:shd w:val="clear" w:color="auto" w:fill="auto"/>
        </w:rPr>
        <w:t xml:space="preserve">тся на едином портале не позднее рабочего дня, следующего за днем его подписания, и на официальном сайте Академии наук Республики Татарстан не позднее 14-го календарного дня, следующего за днем определения победителей отбора, и включает следующие сведения: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дату, время и место проведения рассмотрения заявок;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информацию об участниках отбора, заявки которых были рассмотрены;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информацию об образовательных организациях высшего образования,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последовательность оценки заявок, присвоенные заявкам значения по каждому из</w:t>
      </w:r>
      <w:r>
        <w:rPr>
          <w:rStyle w:val="894"/>
          <w:shd w:val="clear" w:color="auto" w:fill="auto"/>
        </w:rPr>
        <w:t xml:space="preserve"> </w:t>
      </w:r>
      <w:r>
        <w:rPr>
          <w:rStyle w:val="894"/>
          <w:sz w:val="28"/>
          <w:szCs w:val="28"/>
          <w:shd w:val="clear" w:color="auto" w:fill="auto"/>
        </w:rPr>
        <w:t xml:space="preserve">предусмотренных критериев экспертной оценки, принятое на основании результатов оценки заявок решение о</w:t>
      </w:r>
      <w:r>
        <w:rPr>
          <w:rStyle w:val="894"/>
          <w:shd w:val="clear" w:color="auto" w:fill="auto"/>
        </w:rPr>
        <w:t xml:space="preserve"> </w:t>
      </w:r>
      <w:r>
        <w:rPr>
          <w:rStyle w:val="894"/>
          <w:sz w:val="28"/>
          <w:szCs w:val="28"/>
          <w:shd w:val="clear" w:color="auto" w:fill="auto"/>
        </w:rPr>
        <w:t xml:space="preserve">присвоении заявкам порядковых номеров;</w:t>
      </w:r>
      <w:r/>
    </w:p>
    <w:p>
      <w:pPr>
        <w:pStyle w:val="888"/>
        <w:ind w:firstLine="737"/>
        <w:widowControl/>
      </w:pPr>
      <w:r>
        <w:rPr>
          <w:rStyle w:val="894"/>
          <w:sz w:val="28"/>
          <w:szCs w:val="28"/>
          <w:shd w:val="clear" w:color="auto" w:fill="auto"/>
        </w:rPr>
        <w:t xml:space="preserve">наименование грантополучателей, с которым заключается соглашение, и размер предоставляемого ему гранта.</w:t>
      </w:r>
      <w:r/>
    </w:p>
    <w:p>
      <w:pPr>
        <w:pStyle w:val="888"/>
        <w:ind w:firstLine="737"/>
        <w:widowControl/>
      </w:pPr>
      <w:r>
        <w:rPr>
          <w:rStyle w:val="894"/>
          <w:sz w:val="28"/>
          <w:szCs w:val="28"/>
          <w:shd w:val="clear" w:color="auto" w:fill="auto"/>
        </w:rPr>
        <w:t xml:space="preserve">Внесение изменений в протокол подведения итогов отбора осуществляется не позднее 10 календарных дней со дня</w:t>
      </w:r>
      <w:r>
        <w:rPr>
          <w:rStyle w:val="894"/>
          <w:sz w:val="28"/>
          <w:szCs w:val="28"/>
          <w:shd w:val="clear" w:color="auto" w:fill="auto"/>
        </w:rPr>
        <w:t xml:space="preserve">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абзацем первым настоящего пункта, с указанием причин внесения таких изменений.</w:t>
      </w:r>
      <w:r/>
    </w:p>
    <w:p>
      <w:pPr>
        <w:pStyle w:val="888"/>
        <w:ind w:firstLine="737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0"/>
        <w:jc w:val="center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VI</w:t>
      </w:r>
      <w:r>
        <w:rPr>
          <w:sz w:val="28"/>
          <w:szCs w:val="28"/>
          <w:shd w:val="clear" w:color="auto" w:fill="auto"/>
          <w:lang w:val="en-US"/>
        </w:rPr>
        <w:t xml:space="preserve">I</w:t>
      </w:r>
      <w:r>
        <w:rPr>
          <w:sz w:val="28"/>
          <w:szCs w:val="28"/>
          <w:shd w:val="clear" w:color="auto" w:fill="auto"/>
        </w:rPr>
        <w:t xml:space="preserve">I. Порядок заключения соглашения и перечисления гранта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0"/>
        <w:jc w:val="center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8.1. По р</w:t>
      </w:r>
      <w:r>
        <w:rPr>
          <w:rStyle w:val="894"/>
          <w:sz w:val="28"/>
          <w:szCs w:val="28"/>
          <w:shd w:val="clear" w:color="auto" w:fill="auto"/>
        </w:rPr>
        <w:t xml:space="preserve">езультатам отбора Академией наук Республики Татарстан с победителями отбора заключается соглашение в соответствии с типовой формой, утвержденной Министерством финансов Республики Татарстан, не позднее 20-го рабочего дня после определения победителя отбора.</w:t>
      </w:r>
      <w:r/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соглашении предусматривается условие о согласовании новых условий соглашения или о ра</w:t>
      </w:r>
      <w:r>
        <w:rPr>
          <w:sz w:val="28"/>
          <w:szCs w:val="28"/>
          <w:shd w:val="clear" w:color="auto" w:fill="auto"/>
        </w:rPr>
        <w:t xml:space="preserve">сторжении соглашения при недостижении согласия по новым условиям в случае уменьшения Академии наук Республики Татарстан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соглашении предусматривается согласие грантополучателя, а так</w:t>
      </w:r>
      <w:r>
        <w:rPr>
          <w:sz w:val="28"/>
          <w:szCs w:val="28"/>
          <w:shd w:val="clear" w:color="auto" w:fill="auto"/>
        </w:rPr>
        <w:t xml:space="preserve">же лиц, получающих средства на основании договоров (соглашений), заключенных с учреждением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</w:t>
      </w:r>
      <w:r>
        <w:rPr>
          <w:sz w:val="28"/>
          <w:szCs w:val="28"/>
          <w:shd w:val="clear" w:color="auto" w:fill="auto"/>
        </w:rPr>
        <w:t xml:space="preserve">ладочных) капиталах, коммерческих организаций с участием таких товариществ и обществ в их уставных (складочных) капиталах), на осуществление Уполномоченным органом в отношении их проверки соблюдения порядка и условий предоставления гранта, в том числе в ча</w:t>
      </w:r>
      <w:r>
        <w:rPr>
          <w:sz w:val="28"/>
          <w:szCs w:val="28"/>
          <w:shd w:val="clear" w:color="auto" w:fill="auto"/>
        </w:rPr>
        <w:t xml:space="preserve">сти достижения результатов предоставления гранта, а также проверки органами государственного финансового контроля в соответствии со статьями 268.1 и 269.2 Бюджетного кодекса Российской Федерации (при предоставлении гранта на финансовое обеспечение затрат).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Грантополучателю, а также иным юридическим лицам, получающим средства на основании договоров (соглашений), заключенных с учреждением, запрещается приобретение за счет полученных из бюджета Республики Татарстан средств иностранной валюты, за исключ</w:t>
      </w:r>
      <w:r>
        <w:rPr>
          <w:sz w:val="28"/>
          <w:szCs w:val="28"/>
          <w:shd w:val="clear" w:color="auto" w:fill="auto"/>
        </w:rPr>
        <w:t xml:space="preserve">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гранта на финансовое обеспечение затрат).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При необходимости Академи</w:t>
      </w:r>
      <w:r>
        <w:rPr>
          <w:sz w:val="28"/>
          <w:szCs w:val="28"/>
          <w:shd w:val="clear" w:color="auto" w:fill="auto"/>
        </w:rPr>
        <w:t xml:space="preserve">я наук Республики Татарстан заключает с грантополучателем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8.2. При реорганизации грантополу</w:t>
      </w:r>
      <w:r>
        <w:rPr>
          <w:sz w:val="28"/>
          <w:szCs w:val="28"/>
          <w:shd w:val="clear" w:color="auto" w:fill="auto"/>
        </w:rPr>
        <w:t xml:space="preserve">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При реорганизации грантополучателя в форме разделения, выделения, а также при ликвидации грантополучателя соглашение расторгается с формированием уведомления о расторжении соглашения в одностороннем п</w:t>
      </w:r>
      <w:r>
        <w:rPr>
          <w:sz w:val="28"/>
          <w:szCs w:val="28"/>
          <w:shd w:val="clear" w:color="auto" w:fill="auto"/>
        </w:rPr>
        <w:t xml:space="preserve">орядке и акта об исполнении обязательств по соглашению с отражением информации о неисполненных учреждением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8.3. Академия наук Республ</w:t>
      </w:r>
      <w:r>
        <w:rPr>
          <w:rStyle w:val="894"/>
          <w:sz w:val="28"/>
          <w:szCs w:val="28"/>
          <w:shd w:val="clear" w:color="auto" w:fill="auto"/>
        </w:rPr>
        <w:t xml:space="preserve">ики Татарстан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  <w:r/>
    </w:p>
    <w:p>
      <w:pPr>
        <w:pStyle w:val="888"/>
        <w:ind w:firstLine="737"/>
      </w:pPr>
      <w:r>
        <w:rPr>
          <w:rStyle w:val="894"/>
          <w:sz w:val="28"/>
          <w:szCs w:val="28"/>
          <w:shd w:val="clear" w:color="auto" w:fill="auto"/>
        </w:rPr>
        <w:t xml:space="preserve">8.4. В случае отказа Академии наук Республики Татарстан от заключения соглашения с победителем отбора по основаниям, предусмотренным пунктом 8.3 настоящего Порядка, отказа победителя отбора от заключения соглашения, неподписания победителем отбора </w:t>
      </w:r>
      <w:r>
        <w:rPr>
          <w:rStyle w:val="894"/>
          <w:sz w:val="28"/>
          <w:szCs w:val="28"/>
          <w:shd w:val="clear" w:color="auto" w:fill="auto"/>
        </w:rPr>
        <w:t xml:space="preserve">соглашения в срок, определенный объявлением о проведении отбора, Академия наук Республики Татарстан заключает соглашение с участником отбора, заявка которого имеет следующий в порядке убывания рейтинг заявки после участника отбора, признанного победителем.</w:t>
      </w:r>
      <w:r/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8.5. Победитель отбора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победителя отбора.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8.6. Академия наук Республики Татарстан не позднее пятого рабочего дня с</w:t>
      </w:r>
      <w:r>
        <w:rPr>
          <w:sz w:val="28"/>
          <w:szCs w:val="28"/>
          <w:shd w:val="clear" w:color="auto" w:fill="auto"/>
        </w:rPr>
        <w:t xml:space="preserve">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грантополучателю, которое оформляется приказом Академии наук Республики Татарстан.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8.7. Основаниями для отказа грантополучателю в предоставлении гранта являются: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несоответствие представленных грантополучателем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установление факта недостоверности представленной грантополучателем информации.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случае наличия </w:t>
      </w:r>
      <w:r>
        <w:rPr>
          <w:sz w:val="28"/>
          <w:szCs w:val="28"/>
          <w:shd w:val="clear" w:color="auto" w:fill="auto"/>
        </w:rPr>
        <w:t xml:space="preserve">оснований для отказа в предоставлении гранта Академия наук Республики Татарстан направляет уведомление соответствующему грантополучателю с указанием причин отказа в предоставлении гранта в течение пяти календарных дней со дня принятия решения об отказе в п</w:t>
      </w:r>
      <w:r>
        <w:rPr>
          <w:sz w:val="28"/>
          <w:szCs w:val="28"/>
          <w:shd w:val="clear" w:color="auto" w:fill="auto"/>
        </w:rPr>
        <w:t xml:space="preserve">редоставлении гранта грантополучателю и заключает соглашение с образовательной организацией высшего образования, заявка которой имеет следующий в порядке убывания рейтинг заявки после образовательной организации высшего образования, признанной победителем.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8.8. Академия наук Республики Татарстан в 10-дневный срок, исчисляе</w:t>
      </w:r>
      <w:r>
        <w:rPr>
          <w:sz w:val="28"/>
          <w:szCs w:val="28"/>
          <w:shd w:val="clear" w:color="auto" w:fill="auto"/>
        </w:rPr>
        <w:t xml:space="preserve">мый в рабочих днях, со дня принятия решения о предоставлении гранта учреждением осуществляет перечисление гранта на расчетный или корреспондентский счет, открытый учреждением в учреждениях Центрального банка Российской Федерации или кредитных организациях.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ind w:firstLine="737"/>
        <w:jc w:val="center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IX. Порядок представления отчетности, осуществления контроля (мониторинга) за соблюдением условий и порядка предоставления гранта и ответственности за их нарушение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hd w:val="clear" w:color="auto" w:fill="auto"/>
        </w:rPr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9.1. Грантопо</w:t>
      </w:r>
      <w:r>
        <w:rPr>
          <w:sz w:val="28"/>
          <w:szCs w:val="28"/>
          <w:shd w:val="clear" w:color="auto" w:fill="auto"/>
        </w:rPr>
        <w:t xml:space="preserve">лучатель представляет ежеквартально, не позднее 15 числа месяца, следующего за отчетным кварталом, через систему «Электронный бюджет» отчеты по форме, предусмотренной типовой формой, установленной Министерством финансов Республики Татарстан для соглашений: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отчет о достижении значений результатов предоставления гранта;</w:t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ind w:firstLine="737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отчет об осуществлении расходов, источником финансового обеспечения которых является грант.</w:t>
      </w:r>
      <w:r>
        <w:rPr>
          <w:sz w:val="28"/>
          <w:szCs w:val="28"/>
          <w:shd w:val="clear" w:color="auto" w:fill="auto"/>
        </w:rPr>
      </w:r>
      <w:r>
        <w:rPr>
          <w:sz w:val="28"/>
          <w:szCs w:val="28"/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9.2. Академия наук Республики Татарстан осуществляет проверку представленных грантополучателем отчетов, предусмотренных пунктом 9.1 настоящего Порядка, в течение 20 рабочих дней с даты их получения в системе «Электронный бюджет».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9.3. Академия наук Республики Татарстан осуществляет проверку соблюдения грантополучателем условий и порядка предоставления гранта, в том числе в части достижения результатов предоставления гранта.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Мониторинг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</w:t>
      </w:r>
      <w:r>
        <w:rPr>
          <w:sz w:val="28"/>
          <w:szCs w:val="28"/>
          <w:shd w:val="clear" w:color="auto" w:fill="auto"/>
        </w:rPr>
        <w:t xml:space="preserve">зультатов предоставления гранта (контрольная точка), проводится Академией наук Республики Татарстан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9.4. Предоставленный грант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Академии наук Республики Татарстан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eastAsia="en-US" w:bidi="ar-SA"/>
        </w:rPr>
        <w:t xml:space="preserve"> в случаях: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/>
      <w:bookmarkStart w:id="26" w:name="p_110"/>
      <w:r/>
      <w:bookmarkEnd w:id="26"/>
      <w:r>
        <w:rPr>
          <w:sz w:val="28"/>
          <w:szCs w:val="28"/>
          <w:shd w:val="clear" w:color="auto" w:fill="auto"/>
        </w:rPr>
        <w:t xml:space="preserve">нарушения грантополучателем условий, установленных при предоставлении </w:t>
      </w:r>
      <w:r>
        <w:rPr>
          <w:sz w:val="28"/>
          <w:szCs w:val="28"/>
          <w:shd w:val="clear" w:color="auto" w:fill="auto"/>
        </w:rPr>
        <w:t xml:space="preserve">гранта</w:t>
      </w:r>
      <w:r>
        <w:rPr>
          <w:sz w:val="28"/>
          <w:szCs w:val="28"/>
          <w:shd w:val="clear" w:color="auto" w:fill="auto"/>
        </w:rPr>
        <w:t xml:space="preserve">, выявленного в том числе по фактам проверок, проведенных Академией наук Республики Татарстан и органами государственного финансового контроля, – в полном объеме;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/>
      <w:bookmarkStart w:id="27" w:name="p_111"/>
      <w:r/>
      <w:bookmarkEnd w:id="27"/>
      <w:r>
        <w:rPr>
          <w:sz w:val="28"/>
          <w:szCs w:val="28"/>
          <w:shd w:val="clear" w:color="auto" w:fill="auto"/>
        </w:rPr>
        <w:t xml:space="preserve">представления грантополучателем недостоверных (неполных) сведений и документов для получения </w:t>
      </w:r>
      <w:r>
        <w:rPr>
          <w:sz w:val="28"/>
          <w:szCs w:val="28"/>
          <w:shd w:val="clear" w:color="auto" w:fill="auto"/>
        </w:rPr>
        <w:t xml:space="preserve">гранта</w:t>
      </w:r>
      <w:r>
        <w:rPr>
          <w:sz w:val="28"/>
          <w:szCs w:val="28"/>
          <w:shd w:val="clear" w:color="auto" w:fill="auto"/>
        </w:rPr>
        <w:t xml:space="preserve"> – в полном объеме;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/>
      <w:bookmarkStart w:id="28" w:name="p_112"/>
      <w:r/>
      <w:bookmarkEnd w:id="28"/>
      <w:r>
        <w:rPr>
          <w:sz w:val="28"/>
          <w:szCs w:val="28"/>
          <w:shd w:val="clear" w:color="auto" w:fill="auto"/>
        </w:rPr>
        <w:t xml:space="preserve">непредставления отчета об осуществлении расходов, источником финансового обеспечения которых является </w:t>
      </w:r>
      <w:r>
        <w:rPr>
          <w:sz w:val="28"/>
          <w:szCs w:val="28"/>
          <w:shd w:val="clear" w:color="auto" w:fill="auto"/>
        </w:rPr>
        <w:t xml:space="preserve">гранта</w:t>
      </w:r>
      <w:r>
        <w:rPr>
          <w:sz w:val="28"/>
          <w:szCs w:val="28"/>
          <w:shd w:val="clear" w:color="auto" w:fill="auto"/>
        </w:rPr>
        <w:t xml:space="preserve">, отчета о достижении значений результатов предоставления </w:t>
      </w:r>
      <w:r>
        <w:rPr>
          <w:sz w:val="28"/>
          <w:szCs w:val="28"/>
          <w:shd w:val="clear" w:color="auto" w:fill="auto"/>
        </w:rPr>
        <w:t xml:space="preserve">гранта</w:t>
      </w:r>
      <w:r>
        <w:rPr>
          <w:sz w:val="28"/>
          <w:szCs w:val="28"/>
          <w:shd w:val="clear" w:color="auto" w:fill="auto"/>
        </w:rPr>
        <w:t xml:space="preserve">, дополнительной отчетности (при установлении таковой в соглашении) – в полном объеме;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/>
      <w:bookmarkStart w:id="29" w:name="p_113"/>
      <w:r/>
      <w:bookmarkEnd w:id="29"/>
      <w:r>
        <w:rPr>
          <w:sz w:val="28"/>
          <w:szCs w:val="28"/>
          <w:shd w:val="clear" w:color="auto" w:fill="auto"/>
        </w:rPr>
        <w:t xml:space="preserve">недостижения грантополучателем значения результата предоставления </w:t>
      </w:r>
      <w:r>
        <w:rPr>
          <w:sz w:val="28"/>
          <w:szCs w:val="28"/>
          <w:shd w:val="clear" w:color="auto" w:fill="auto"/>
        </w:rPr>
        <w:t xml:space="preserve">гранта – </w:t>
      </w:r>
      <w:r>
        <w:rPr>
          <w:sz w:val="28"/>
          <w:szCs w:val="28"/>
          <w:shd w:val="clear" w:color="auto" w:fill="auto"/>
        </w:rPr>
        <w:t xml:space="preserve">в полном объеме;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/>
      <w:bookmarkStart w:id="30" w:name="p_114"/>
      <w:r/>
      <w:bookmarkEnd w:id="30"/>
      <w:r>
        <w:rPr>
          <w:sz w:val="28"/>
          <w:szCs w:val="28"/>
          <w:shd w:val="clear" w:color="auto" w:fill="auto"/>
        </w:rPr>
        <w:t xml:space="preserve">нецелевого использования средств </w:t>
      </w:r>
      <w:r>
        <w:rPr>
          <w:sz w:val="28"/>
          <w:szCs w:val="28"/>
          <w:shd w:val="clear" w:color="auto" w:fill="auto"/>
        </w:rPr>
        <w:t xml:space="preserve">гранта</w:t>
      </w:r>
      <w:r>
        <w:rPr>
          <w:sz w:val="28"/>
          <w:szCs w:val="28"/>
          <w:shd w:val="clear" w:color="auto" w:fill="auto"/>
        </w:rPr>
        <w:t xml:space="preserve"> – в объеме использованной не по целевому назначению </w:t>
      </w:r>
      <w:r>
        <w:rPr>
          <w:sz w:val="28"/>
          <w:szCs w:val="28"/>
          <w:shd w:val="clear" w:color="auto" w:fill="auto"/>
        </w:rPr>
        <w:t xml:space="preserve">гранта</w:t>
      </w:r>
      <w:r>
        <w:rPr>
          <w:sz w:val="28"/>
          <w:szCs w:val="28"/>
          <w:shd w:val="clear" w:color="auto" w:fill="auto"/>
        </w:rPr>
        <w:t xml:space="preserve">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Академия наук Республики Татарстан в срок, не превышающий 30 календарных дней со дня обнаружения обстоятельств, являющихся в соответствии с абзацами вторым – шестым настоящего пункта осно</w:t>
      </w:r>
      <w:r>
        <w:rPr>
          <w:sz w:val="28"/>
          <w:szCs w:val="28"/>
          <w:shd w:val="clear" w:color="auto" w:fill="auto"/>
        </w:rPr>
        <w:t xml:space="preserve">ваниями для возврата гранта в бюджет Республики Татарстан, обеспечивает возврат гранта в бюджет Республики Татарстан посредством направления грантополучателю требования о возврате гранта в течение 10 календарных дней со дня получения указанного требования.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9.5. В случае отказа или уклонения грантополучателя от добровольного возврата гранта в бюджет Республики Татарстан Академия наук Республики Татарстан принимает предусмотренные законодательством Российской Федерации меры по его принудительному взысканию.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9.6. Остатки средств, источником финансового обеспечения которых является грант, не использованные в отчетном финансовом году, подлеж</w:t>
      </w:r>
      <w:r>
        <w:rPr>
          <w:sz w:val="28"/>
          <w:szCs w:val="28"/>
          <w:shd w:val="clear" w:color="auto" w:fill="auto"/>
        </w:rPr>
        <w:t xml:space="preserve">ат возврату в доход бюджета Республики Татарстан не позднее 1 марта года, следующего за отчетным, за исключением случаев принятия Академией наук Республики Татарстан решения о наличии потребности в указанных средствах, в порядке, установленном соглашением.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случае потребности направления средств, не использованных в отчетно</w:t>
      </w:r>
      <w:r>
        <w:rPr>
          <w:sz w:val="28"/>
          <w:szCs w:val="28"/>
          <w:shd w:val="clear" w:color="auto" w:fill="auto"/>
        </w:rPr>
        <w:t xml:space="preserve">м финансовом году, на цели, установленные в пункте 1.3 настоящего Порядка, грантополучатель представляет в Академию наук Республики Татарстан не позднее 15 февраля года, следующего за отчетным, информацию с обоснованием потребности в указанных средствах.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Академия наук Республики Татарстан не позднее 10 календарных дне</w:t>
      </w:r>
      <w:r>
        <w:rPr>
          <w:sz w:val="28"/>
          <w:szCs w:val="28"/>
          <w:shd w:val="clear" w:color="auto" w:fill="auto"/>
        </w:rPr>
        <w:t xml:space="preserve">й со дня получения от грантополучателя информации, указанной в абзаце втором настоящего пункта, принимает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737"/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случае принятия Академией наук Республики Татарстан решения о наличии потребности в направлении в тек</w:t>
      </w:r>
      <w:r>
        <w:rPr>
          <w:sz w:val="28"/>
          <w:szCs w:val="28"/>
          <w:shd w:val="clear" w:color="auto" w:fill="auto"/>
        </w:rPr>
        <w:t xml:space="preserve">ущем финансовом году остатка гранта, не использованного в отчетном финансовом году, между Академией наук Республики Татарстан и грантополучателем заключается дополнительное соглашение к соглашению в пятидневный срок, исчисляемый в рабочих днях, со дня прин</w:t>
      </w:r>
      <w:r>
        <w:rPr>
          <w:sz w:val="28"/>
          <w:szCs w:val="28"/>
          <w:shd w:val="clear" w:color="auto" w:fill="auto"/>
        </w:rPr>
        <w:t xml:space="preserve">ятия такого решения. Дополнительное 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jc w:val="center"/>
        <w:rPr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</w:p>
    <w:p>
      <w:pPr>
        <w:pStyle w:val="888"/>
        <w:jc w:val="center"/>
        <w:rPr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</w:p>
    <w:p>
      <w:pPr>
        <w:pStyle w:val="888"/>
        <w:rPr>
          <w:shd w:val="clear" w:color="auto" w:fill="auto"/>
        </w:rPr>
      </w:pPr>
      <w:r>
        <w:rPr>
          <w:shd w:val="clear" w:color="auto" w:fill="auto"/>
        </w:rPr>
      </w:r>
      <w:r>
        <w:br w:type="page" w:clear="all"/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ind w:firstLine="0"/>
        <w:sectPr>
          <w:headerReference w:type="default" r:id="rId9"/>
          <w:footerReference w:type="default" r:id="rId13"/>
          <w:footerReference w:type="first" r:id="rId14"/>
          <w:footnotePr/>
          <w:endnotePr/>
          <w:type w:val="nextPage"/>
          <w:pgSz w:w="11906" w:h="1679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888"/>
        <w:ind w:left="5102" w:firstLine="0"/>
        <w:jc w:val="left"/>
        <w:rPr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Приложение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left="5102" w:firstLine="0"/>
        <w:jc w:val="left"/>
        <w:rPr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auto"/>
        </w:rPr>
        <w:t xml:space="preserve">Порядку предоставления в 2025 году гранта в форме субсидии образовательным организациям высшего образования на  реализацию проекта, направленного на создание передовой инженерной школы республиканского значения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left="5102"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left="5102" w:firstLine="0"/>
        <w:jc w:val="left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888"/>
        <w:ind w:firstLine="0"/>
        <w:jc w:val="center"/>
        <w:rPr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Критерии экспертной оценки </w:t>
      </w:r>
      <w:r>
        <w:rPr>
          <w:shd w:val="clear" w:color="auto" w:fill="auto"/>
        </w:rPr>
      </w:r>
      <w:r>
        <w:rPr>
          <w:shd w:val="clear" w:color="auto" w:fill="auto"/>
        </w:rPr>
      </w:r>
    </w:p>
    <w:p>
      <w:pPr>
        <w:pStyle w:val="888"/>
        <w:ind w:firstLine="0"/>
        <w:jc w:val="center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tbl>
      <w:tblPr>
        <w:tblW w:w="10237" w:type="dxa"/>
        <w:tblInd w:w="-142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0"/>
        <w:gridCol w:w="5133"/>
        <w:gridCol w:w="4284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930"/>
              <w:ind w:left="0" w:right="0" w:firstLine="170"/>
              <w:jc w:val="left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№№</w:t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930"/>
              <w:ind w:left="57" w:right="0" w:firstLine="0"/>
              <w:jc w:val="center"/>
              <w:spacing w:before="0" w:after="0"/>
              <w:widowControl w:val="off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Наименование критерия</w:t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930"/>
              <w:ind w:firstLine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Значение в баллах</w:t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930"/>
              <w:ind w:firstLine="170"/>
              <w:jc w:val="left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1.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Актуальность </w:t>
            </w: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и соответствие приоритетам научно-технологического развития Российской Федерации и Республики Татарстан, закрепленных в Стратегии научно-технологического развития Российской Федерации, утвержденной Указом Президента Российской Федерации от 1 декабря 2016 г</w:t>
            </w: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ода</w:t>
            </w: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 № 642 «О Стратегии научно-технологического</w:t>
            </w: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 развития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в  государственной программе «Научно</w:t>
            </w: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-технологическое развитие Республики Татарстан», утвержденной постановлением Кабинета Министров Республики Татарстан от 27.12.2022 № 1429 «Об утверждении государственной программы Республики Татарстан «Научно-технологическое развитие Республики Татарстан»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left="57" w:right="57" w:firstLine="397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проект соответствует приоритетам научно-технологического развития и критическим технологиям, направлен на решение ключевых кадровых/технологических дефицитов – 10 баллов;</w:t>
            </w:r>
            <w:r/>
          </w:p>
          <w:p>
            <w:pPr>
              <w:pStyle w:val="888"/>
              <w:ind w:left="57" w:right="57" w:firstLine="397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хорошее соответствие, но не все связи проработаны или охвачены не все приоритеты – </w:t>
            </w: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7 баллов;</w:t>
            </w:r>
            <w:r/>
            <w:r/>
          </w:p>
          <w:p>
            <w:pPr>
              <w:pStyle w:val="888"/>
              <w:ind w:left="57" w:right="57" w:firstLine="397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соответствие отражено частично – 3 балла;</w:t>
            </w:r>
            <w:r/>
          </w:p>
          <w:p>
            <w:pPr>
              <w:pStyle w:val="888"/>
              <w:ind w:left="57" w:right="57" w:firstLine="397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нет связи с приоритетами или потребностями – 0 баллов.</w:t>
            </w:r>
            <w:r/>
          </w:p>
          <w:p>
            <w:pPr>
              <w:pStyle w:val="888"/>
              <w:ind w:firstLine="0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930"/>
              <w:ind w:firstLine="170"/>
              <w:jc w:val="left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2.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Масштабность и амбициозность видения:</w:t>
            </w:r>
            <w:r/>
          </w:p>
          <w:p>
            <w:pPr>
              <w:pStyle w:val="888"/>
              <w:ind w:left="0" w:right="0" w:firstLine="283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    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представлена реалистичная и амбициозная модель передовой инженерной школы с потенциалом стать участником федерального проекта – 15 баллов;</w:t>
            </w:r>
            <w:r/>
          </w:p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видение есть, но масштаб недостаточно проработан, потенциал стать участником федерального проекта обоснован недостаточно – 7 баллов;</w:t>
            </w:r>
            <w:r/>
          </w:p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видение ограничено, потенциал стать участником федерального проекта не очевиден – 3 балла;</w:t>
            </w:r>
            <w:r/>
          </w:p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отсутствие определенного видения или модели, нет потенциала  стать участником федерального проекта – 0 баллов.</w:t>
            </w:r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930"/>
              <w:ind w:firstLine="170"/>
              <w:jc w:val="left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3.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Степень и качество проработки плана мероприятий развития передовой инженерной школы: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детальный, реалистичный план с измеримыми, достаточно амбициозными, но достижимыми результатами, четко обозначенными этапами реализации и контрольными точками, смета обоснована, решает задачи по реализации проекта – 10 баллов;</w:t>
            </w:r>
            <w:r/>
          </w:p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план достаточно проработан, результаты средней значимости, достижимы, этапы реализации и контрольные точки обозначены, смета в целом обоснована – 7 баллов;</w:t>
            </w:r>
            <w:r/>
          </w:p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план не достаточно проработан, мероприятия плана не соответствуют заявленным результатам – 3 балла;</w:t>
            </w:r>
            <w:r/>
          </w:p>
          <w:p>
            <w:pPr>
              <w:pStyle w:val="888"/>
              <w:ind w:left="57" w:right="57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план не проработан, достижение заявленных результатов под сомнением – 0 баллов. </w:t>
            </w:r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930"/>
              <w:ind w:firstLine="170"/>
              <w:jc w:val="left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4.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  <w:jc w:val="both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Объем внебюджетных средств, привлекаемых образовательной организацией со стороны высокотехнологичной компании или высокотехнологичных компаний на реализацию проекта: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привлеченное финансирование составляет 50 – 70 % – 10 баллов; 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привлеченное финансирование составляет от 71 до 90% – 20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привлеченное финансирование свыше 90 % – 30 баллов.</w:t>
            </w:r>
            <w:r/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930"/>
              <w:ind w:firstLine="170"/>
              <w:jc w:val="left"/>
              <w:rPr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  <w:t xml:space="preserve">5.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  <w:jc w:val="both"/>
              <w:spacing w:before="0" w:after="0"/>
              <w:widowControl w:val="off"/>
            </w:pPr>
            <w:r/>
            <w:bookmarkStart w:id="33" w:name="p_4601"/>
            <w:r/>
            <w:bookmarkEnd w:id="33"/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Заинтересованность предприятий реального сектора экономики о востребованности результатов проекта (письма поддержки):</w:t>
            </w:r>
            <w:r/>
          </w:p>
          <w:p>
            <w:pPr>
              <w:pStyle w:val="888"/>
              <w:ind w:left="0" w:right="0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 </w:t>
            </w:r>
            <w:r/>
          </w:p>
          <w:p>
            <w:pPr>
              <w:pStyle w:val="888"/>
              <w:ind w:left="0" w:right="0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 </w:t>
            </w:r>
            <w:r/>
          </w:p>
          <w:p>
            <w:pPr>
              <w:pStyle w:val="888"/>
              <w:ind w:left="0" w:right="0" w:firstLine="28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  <w:p>
            <w:pPr>
              <w:pStyle w:val="888"/>
              <w:ind w:left="0" w:right="0" w:firstLine="28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  <w:r>
              <w:rPr>
                <w:sz w:val="28"/>
                <w:szCs w:val="28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firstLine="283"/>
            </w:pPr>
            <w:r/>
            <w:bookmarkStart w:id="34" w:name="p_4602_Копия_1"/>
            <w:r/>
            <w:bookmarkEnd w:id="34"/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имеется заинтересованность организаций реального сектора экономики (представлены письма поддержки) – 5 баллов (за каждое письмо поддержки, от одной организации не может быть более одного письма). Максимальный балл по данному критерию – 15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 </w:t>
            </w:r>
            <w:bookmarkStart w:id="35" w:name="p_4604_Копия_1"/>
            <w:r/>
            <w:bookmarkEnd w:id="35"/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заинтересованность организаций реального сектора экономики отсутствует (письма поддержки и запросы на результаты реализации проекта не представлены ) – 0 баллов. </w:t>
            </w:r>
            <w:r/>
          </w:p>
        </w:tc>
      </w:tr>
      <w:tr>
        <w:tblPrEx/>
        <w:trPr>
          <w:trHeight w:val="29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888"/>
              <w:ind w:left="0" w:right="0" w:firstLine="170"/>
              <w:jc w:val="left"/>
              <w:spacing w:before="0" w:after="0"/>
              <w:widowControl w:val="off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6. 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Опыт и компетентность команды: </w:t>
            </w:r>
            <w:r/>
          </w:p>
          <w:p>
            <w:pPr>
              <w:pStyle w:val="929"/>
              <w:ind w:left="0" w:right="0" w:firstLine="283"/>
              <w:jc w:val="both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   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ключевые руководители имеют успешный опыт реализации крупных (&gt;10 млн. руб.) проектов (образовательных, научных, инновационных), четкая, эффективная структура управления передовой инженерной школой – 10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опыт есть, но проекты менее масштабные или не по всем релевантным направлениям, структура управления понятна – 7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опыт команды ограничен или нерелевантен, структура управления нечеткая – 3 балла;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нет опыта или неподходящая команда, структуры управления нет – 0 баллов.</w:t>
            </w:r>
            <w:r/>
          </w:p>
        </w:tc>
      </w:tr>
      <w:tr>
        <w:tblPrEx/>
        <w:trPr>
          <w:trHeight w:val="356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820" w:type="dxa"/>
            <w:textDirection w:val="lrTb"/>
            <w:noWrap w:val="false"/>
          </w:tcPr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7. 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133" w:type="dxa"/>
            <w:textDirection w:val="lrTb"/>
            <w:noWrap w:val="false"/>
          </w:tcPr>
          <w:p>
            <w:pPr>
              <w:pStyle w:val="888"/>
              <w:ind w:left="0" w:right="0"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Наличие материально-технической и кадровой баз: 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84" w:type="dxa"/>
            <w:textDirection w:val="lrTb"/>
            <w:noWrap w:val="false"/>
          </w:tcPr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наличие хорошей  лабораторной и инфраструктурной базы, наличие квалифицированных научно-педагогических работников по  инженерным направлениям – 10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база удовлетворительная, сформировано ядро квалифицированных кадров по  инженерным направлениям – 7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инфраструктурная база слабая, кадровый потенциал недостаточен – 3 баллов;</w:t>
            </w:r>
            <w:r/>
          </w:p>
          <w:p>
            <w:pPr>
              <w:pStyle w:val="888"/>
              <w:ind w:firstLine="283"/>
            </w:pPr>
            <w:r>
              <w:rPr>
                <w:rStyle w:val="894"/>
                <w:sz w:val="28"/>
                <w:szCs w:val="28"/>
                <w:shd w:val="clear" w:color="auto" w:fill="auto"/>
              </w:rPr>
              <w:t xml:space="preserve">серьезный дефицит инфраструктуры и квалифицированных кадров – 0 баллов. </w:t>
            </w:r>
            <w:r/>
          </w:p>
        </w:tc>
      </w:tr>
    </w:tbl>
    <w:p>
      <w:pPr>
        <w:pStyle w:val="888"/>
        <w:ind w:firstLine="0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bookmarkStart w:id="40" w:name="p_726"/>
      <w:r/>
      <w:bookmarkStart w:id="41" w:name="p_736"/>
      <w:r/>
      <w:bookmarkStart w:id="42" w:name="p_634_Копия_1_Копия_1"/>
      <w:r/>
      <w:bookmarkStart w:id="43" w:name="p_716"/>
      <w:r/>
      <w:bookmarkEnd w:id="40"/>
      <w:r/>
      <w:bookmarkEnd w:id="41"/>
      <w:r/>
      <w:bookmarkEnd w:id="42"/>
      <w:r/>
      <w:bookmarkEnd w:id="43"/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sectPr>
      <w:footnotePr/>
      <w:endnotePr/>
      <w:type w:val="continuous"/>
      <w:pgSz w:w="11906" w:h="1679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OpenSymbol">
    <w:panose1 w:val="05010000000000000000"/>
  </w:font>
  <w:font w:name="Mangal">
    <w:panose1 w:val="02040503050306020203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DejaVu Sans">
    <w:panose1 w:val="020B060303080402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90"/>
      <w:isLgl w:val="false"/>
      <w:suff w:val="nothing"/>
      <w:lvlText w:val="%2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DejaVu Sans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1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1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1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1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88"/>
    <w:next w:val="888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88"/>
    <w:next w:val="888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1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88"/>
    <w:next w:val="888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1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before="0" w:after="0" w:line="240" w:lineRule="auto"/>
    </w:pPr>
  </w:style>
  <w:style w:type="character" w:styleId="735">
    <w:name w:val="Title Char"/>
    <w:basedOn w:val="891"/>
    <w:link w:val="910"/>
    <w:uiPriority w:val="10"/>
    <w:rPr>
      <w:sz w:val="48"/>
      <w:szCs w:val="48"/>
    </w:rPr>
  </w:style>
  <w:style w:type="paragraph" w:styleId="736">
    <w:name w:val="Subtitle"/>
    <w:basedOn w:val="888"/>
    <w:next w:val="888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1"/>
    <w:link w:val="736"/>
    <w:uiPriority w:val="11"/>
    <w:rPr>
      <w:sz w:val="24"/>
      <w:szCs w:val="24"/>
    </w:rPr>
  </w:style>
  <w:style w:type="paragraph" w:styleId="738">
    <w:name w:val="Quote"/>
    <w:basedOn w:val="888"/>
    <w:next w:val="888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8"/>
    <w:next w:val="888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1"/>
    <w:link w:val="919"/>
    <w:uiPriority w:val="99"/>
  </w:style>
  <w:style w:type="character" w:styleId="743">
    <w:name w:val="Footer Char"/>
    <w:basedOn w:val="891"/>
    <w:link w:val="920"/>
    <w:uiPriority w:val="99"/>
  </w:style>
  <w:style w:type="character" w:styleId="744">
    <w:name w:val="Caption Char"/>
    <w:basedOn w:val="908"/>
    <w:link w:val="920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ind w:firstLine="720"/>
      <w:jc w:val="both"/>
      <w:spacing w:before="0" w:after="0"/>
      <w:widowControl w:val="off"/>
    </w:pPr>
    <w:rPr>
      <w:rFonts w:ascii="Times New Roman CYR" w:hAnsi="Times New Roman CYR" w:eastAsia="Symbol" w:cs="Wingdings"/>
      <w:color w:val="auto"/>
      <w:sz w:val="24"/>
      <w:szCs w:val="24"/>
      <w:lang w:val="ru-RU" w:eastAsia="zh-CN" w:bidi="hi-IN"/>
    </w:rPr>
  </w:style>
  <w:style w:type="paragraph" w:styleId="889">
    <w:name w:val="Heading 1"/>
    <w:basedOn w:val="888"/>
    <w:next w:val="888"/>
    <w:qFormat/>
    <w:pPr>
      <w:numPr>
        <w:ilvl w:val="0"/>
        <w:numId w:val="0"/>
      </w:numPr>
      <w:ind w:firstLine="0"/>
      <w:jc w:val="center"/>
      <w:spacing w:before="108" w:after="108"/>
      <w:outlineLvl w:val="0"/>
    </w:pPr>
    <w:rPr>
      <w:b/>
      <w:color w:val="26282f"/>
    </w:rPr>
  </w:style>
  <w:style w:type="paragraph" w:styleId="890">
    <w:name w:val="Heading 2"/>
    <w:basedOn w:val="912"/>
    <w:next w:val="90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891" w:default="1">
    <w:name w:val="Default Paragraph Font"/>
    <w:qFormat/>
  </w:style>
  <w:style w:type="character" w:styleId="892">
    <w:name w:val="Гипертекстовая ссылка"/>
    <w:qFormat/>
    <w:rPr>
      <w:rFonts w:ascii="Times New Roman" w:hAnsi="Times New Roman" w:eastAsia="Times New Roman" w:cs="Times New Roman"/>
      <w:b w:val="0"/>
      <w:color w:val="106bbe"/>
      <w:szCs w:val="24"/>
    </w:rPr>
  </w:style>
  <w:style w:type="character" w:styleId="893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894">
    <w:name w:val="Цветовое выделение для Текст"/>
    <w:qFormat/>
  </w:style>
  <w:style w:type="character" w:styleId="895">
    <w:name w:val="Hyperlink"/>
    <w:rPr>
      <w:color w:val="000080"/>
      <w:u w:val="single"/>
    </w:rPr>
  </w:style>
  <w:style w:type="character" w:styleId="896">
    <w:name w:val="annotation reference"/>
    <w:basedOn w:val="891"/>
    <w:qFormat/>
    <w:rPr>
      <w:sz w:val="16"/>
      <w:szCs w:val="16"/>
    </w:rPr>
  </w:style>
  <w:style w:type="character" w:styleId="897">
    <w:name w:val="Текст примечания Знак"/>
    <w:basedOn w:val="891"/>
    <w:qFormat/>
    <w:rPr>
      <w:rFonts w:ascii="Times New Roman CYR" w:hAnsi="Times New Roman CYR" w:eastAsia="Symbol" w:cs="Mangal"/>
      <w:sz w:val="20"/>
      <w:szCs w:val="18"/>
    </w:rPr>
  </w:style>
  <w:style w:type="character" w:styleId="898">
    <w:name w:val="Тема примечания Знак"/>
    <w:basedOn w:val="897"/>
    <w:link w:val="925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899">
    <w:name w:val="Текст выноски Знак"/>
    <w:basedOn w:val="891"/>
    <w:link w:val="926"/>
    <w:qFormat/>
    <w:rPr>
      <w:rFonts w:ascii="Tahoma" w:hAnsi="Tahoma" w:eastAsia="Symbol" w:cs="Mangal"/>
      <w:sz w:val="16"/>
      <w:szCs w:val="14"/>
    </w:rPr>
  </w:style>
  <w:style w:type="character" w:styleId="900">
    <w:name w:val="Emphasis"/>
    <w:qFormat/>
    <w:rPr>
      <w:i/>
      <w:iCs/>
    </w:rPr>
  </w:style>
  <w:style w:type="character" w:styleId="901">
    <w:name w:val="Символ нумерации"/>
    <w:qFormat/>
  </w:style>
  <w:style w:type="character" w:styleId="902">
    <w:name w:val="FollowedHyperlink"/>
    <w:rPr>
      <w:color w:val="800000"/>
      <w:u w:val="single"/>
    </w:rPr>
  </w:style>
  <w:style w:type="character" w:styleId="903">
    <w:name w:val="Маркеры"/>
    <w:qFormat/>
    <w:rPr>
      <w:rFonts w:ascii="OpenSymbol" w:hAnsi="OpenSymbol" w:eastAsia="OpenSymbol" w:cs="OpenSymbol"/>
    </w:rPr>
  </w:style>
  <w:style w:type="character" w:styleId="904">
    <w:name w:val="Strong"/>
    <w:qFormat/>
    <w:rPr>
      <w:b/>
      <w:bCs/>
    </w:rPr>
  </w:style>
  <w:style w:type="paragraph" w:styleId="905">
    <w:name w:val="Заголовок"/>
    <w:basedOn w:val="888"/>
    <w:next w:val="90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6">
    <w:name w:val="Body Text"/>
    <w:basedOn w:val="888"/>
    <w:pPr>
      <w:spacing w:before="0" w:after="140" w:line="276" w:lineRule="auto"/>
    </w:pPr>
  </w:style>
  <w:style w:type="paragraph" w:styleId="907">
    <w:name w:val="List"/>
    <w:basedOn w:val="906"/>
    <w:rPr>
      <w:rFonts w:ascii="PT Astra Serif" w:hAnsi="PT Astra Serif" w:cs="Noto Sans Devanagari"/>
    </w:rPr>
  </w:style>
  <w:style w:type="paragraph" w:styleId="908">
    <w:name w:val="Caption"/>
    <w:basedOn w:val="88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09">
    <w:name w:val="Указатель"/>
    <w:basedOn w:val="888"/>
    <w:qFormat/>
    <w:pPr>
      <w:suppressLineNumbers/>
    </w:pPr>
    <w:rPr>
      <w:rFonts w:ascii="PT Astra Serif" w:hAnsi="PT Astra Serif" w:cs="Noto Sans Devanagari"/>
    </w:rPr>
  </w:style>
  <w:style w:type="paragraph" w:styleId="910">
    <w:name w:val="Title"/>
    <w:basedOn w:val="888"/>
    <w:next w:val="90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11">
    <w:name w:val="index heading"/>
    <w:basedOn w:val="888"/>
    <w:rPr>
      <w:rFonts w:ascii="PT Astra Serif" w:hAnsi="PT Astra Serif" w:cs="Noto Sans Devanagari"/>
    </w:rPr>
  </w:style>
  <w:style w:type="paragraph" w:styleId="912">
    <w:name w:val="Заголовок1"/>
    <w:basedOn w:val="888"/>
    <w:next w:val="906"/>
    <w:qFormat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913">
    <w:name w:val="caption1"/>
    <w:basedOn w:val="888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914">
    <w:name w:val="Таблицы (моноширинный)"/>
    <w:basedOn w:val="888"/>
    <w:next w:val="888"/>
    <w:qFormat/>
    <w:pPr>
      <w:ind w:firstLine="0"/>
    </w:pPr>
    <w:rPr>
      <w:rFonts w:ascii="Courier New" w:hAnsi="Courier New"/>
    </w:rPr>
  </w:style>
  <w:style w:type="paragraph" w:styleId="915">
    <w:name w:val="Прижатый влево"/>
    <w:basedOn w:val="888"/>
    <w:next w:val="888"/>
    <w:qFormat/>
    <w:pPr>
      <w:ind w:firstLine="0"/>
      <w:jc w:val="left"/>
    </w:pPr>
  </w:style>
  <w:style w:type="paragraph" w:styleId="916">
    <w:name w:val="Нормальный (таблица)"/>
    <w:basedOn w:val="888"/>
    <w:next w:val="888"/>
    <w:qFormat/>
    <w:pPr>
      <w:ind w:firstLine="0"/>
    </w:pPr>
  </w:style>
  <w:style w:type="paragraph" w:styleId="917">
    <w:name w:val="Колонтитул"/>
    <w:basedOn w:val="888"/>
    <w:qFormat/>
  </w:style>
  <w:style w:type="paragraph" w:styleId="918">
    <w:name w:val="Header and Footer"/>
    <w:basedOn w:val="888"/>
    <w:qFormat/>
  </w:style>
  <w:style w:type="paragraph" w:styleId="919">
    <w:name w:val="Header"/>
    <w:basedOn w:val="888"/>
    <w:next w:val="888"/>
    <w:pPr>
      <w:ind w:firstLine="0"/>
      <w:jc w:val="center"/>
    </w:pPr>
    <w:rPr>
      <w:rFonts w:ascii="Times New Roman" w:hAnsi="Times New Roman"/>
      <w:sz w:val="20"/>
    </w:rPr>
  </w:style>
  <w:style w:type="paragraph" w:styleId="920">
    <w:name w:val="Footer"/>
    <w:basedOn w:val="888"/>
    <w:next w:val="888"/>
    <w:pPr>
      <w:ind w:firstLine="0"/>
      <w:jc w:val="left"/>
    </w:pPr>
    <w:rPr>
      <w:rFonts w:ascii="Times New Roman" w:hAnsi="Times New Roman"/>
      <w:sz w:val="20"/>
    </w:rPr>
  </w:style>
  <w:style w:type="paragraph" w:styleId="921">
    <w:name w:val="ConsPlusTitle"/>
    <w:qFormat/>
    <w:pPr>
      <w:jc w:val="left"/>
      <w:spacing w:before="0" w:after="0"/>
      <w:widowControl w:val="off"/>
    </w:pPr>
    <w:rPr>
      <w:rFonts w:ascii="Arial" w:hAnsi="Arial" w:eastAsia="Arial" w:cs="Courier New"/>
      <w:b/>
      <w:color w:val="auto"/>
      <w:sz w:val="24"/>
      <w:szCs w:val="24"/>
      <w:lang w:val="ru-RU" w:eastAsia="zh-CN" w:bidi="hi-IN"/>
    </w:rPr>
  </w:style>
  <w:style w:type="paragraph" w:styleId="922">
    <w:name w:val="List Paragraph"/>
    <w:basedOn w:val="888"/>
    <w:qFormat/>
    <w:pPr>
      <w:contextualSpacing/>
      <w:ind w:left="720"/>
      <w:spacing w:before="0" w:after="0"/>
    </w:pPr>
    <w:rPr>
      <w:rFonts w:cs="Mangal"/>
      <w:szCs w:val="21"/>
    </w:rPr>
  </w:style>
  <w:style w:type="paragraph" w:styleId="923">
    <w:name w:val="Комментарий"/>
    <w:next w:val="888"/>
    <w:qFormat/>
    <w:pPr>
      <w:ind w:left="170" w:right="170"/>
      <w:jc w:val="both"/>
      <w:spacing w:before="75" w:after="0"/>
      <w:widowControl w:val="off"/>
    </w:pPr>
    <w:rPr>
      <w:rFonts w:ascii="Times New Roman CYR" w:hAnsi="Times New Roman CYR" w:eastAsia="Symbol" w:cs="Wingdings"/>
      <w:color w:val="353842"/>
      <w:sz w:val="24"/>
      <w:szCs w:val="24"/>
      <w:lang w:val="ru-RU" w:eastAsia="zh-CN" w:bidi="hi-IN"/>
    </w:rPr>
  </w:style>
  <w:style w:type="paragraph" w:styleId="924">
    <w:name w:val="annotation text"/>
    <w:basedOn w:val="888"/>
    <w:link w:val="897"/>
    <w:rPr>
      <w:rFonts w:cs="Mangal"/>
      <w:sz w:val="20"/>
      <w:szCs w:val="18"/>
    </w:rPr>
  </w:style>
  <w:style w:type="paragraph" w:styleId="925">
    <w:name w:val="annotation subject"/>
    <w:basedOn w:val="924"/>
    <w:next w:val="924"/>
    <w:link w:val="898"/>
    <w:qFormat/>
    <w:rPr>
      <w:b/>
      <w:bCs/>
    </w:rPr>
  </w:style>
  <w:style w:type="paragraph" w:styleId="926">
    <w:name w:val="Balloon Text"/>
    <w:basedOn w:val="888"/>
    <w:link w:val="899"/>
    <w:qFormat/>
    <w:rPr>
      <w:rFonts w:ascii="Tahoma" w:hAnsi="Tahoma" w:cs="Mangal"/>
      <w:sz w:val="16"/>
      <w:szCs w:val="14"/>
    </w:rPr>
  </w:style>
  <w:style w:type="paragraph" w:styleId="927">
    <w:name w:val="Информация о версии"/>
    <w:basedOn w:val="923"/>
    <w:next w:val="888"/>
    <w:qFormat/>
    <w:rPr>
      <w:i/>
    </w:rPr>
  </w:style>
  <w:style w:type="paragraph" w:styleId="928">
    <w:name w:val="Содержимое врезки"/>
    <w:basedOn w:val="888"/>
    <w:qFormat/>
  </w:style>
  <w:style w:type="paragraph" w:styleId="929">
    <w:name w:val="Body Text First Indent"/>
    <w:basedOn w:val="888"/>
    <w:pPr>
      <w:ind w:firstLine="709"/>
    </w:pPr>
  </w:style>
  <w:style w:type="paragraph" w:styleId="930">
    <w:name w:val="Содержимое таблицы"/>
    <w:basedOn w:val="888"/>
    <w:qFormat/>
  </w:style>
  <w:style w:type="paragraph" w:styleId="931">
    <w:name w:val="Заголовок таблицы"/>
    <w:basedOn w:val="930"/>
    <w:qFormat/>
    <w:pPr>
      <w:jc w:val="center"/>
      <w:suppressLineNumbers/>
    </w:pPr>
    <w:rPr>
      <w:b/>
      <w:bCs/>
    </w:rPr>
  </w:style>
  <w:style w:type="numbering" w:styleId="932">
    <w:name w:val="Без списка"/>
    <w:qFormat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footer" Target="footer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НПП "Гарант-Сервис"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dc:language>ru-RU</dc:language>
  <cp:revision>66</cp:revision>
  <dcterms:modified xsi:type="dcterms:W3CDTF">2025-07-22T07:10:47Z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