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/>
        <w:ind w:right="51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/>
        <w:ind w:right="510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spacing w:lineRule="auto" w:line="240"/>
        <w:ind w:right="5100" w:hanging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452653"/>
      <w:bookmarkEnd w:id="0"/>
      <w:r>
        <w:rPr>
          <w:rFonts w:cs="Times New Roman"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cs="Times New Roman" w:ascii="Times New Roman" w:hAnsi="Times New Roman"/>
          <w:sz w:val="28"/>
          <w:szCs w:val="28"/>
        </w:rPr>
        <w:t xml:space="preserve">о </w:t>
      </w:r>
      <w:r>
        <w:rPr>
          <w:rFonts w:cs="Times New Roman" w:ascii="Times New Roman" w:hAnsi="Times New Roman"/>
          <w:sz w:val="28"/>
          <w:szCs w:val="28"/>
        </w:rPr>
        <w:t xml:space="preserve"> предоставлени</w:t>
      </w:r>
      <w:r>
        <w:rPr>
          <w:rFonts w:cs="Times New Roman" w:ascii="Times New Roman" w:hAnsi="Times New Roman"/>
          <w:sz w:val="28"/>
          <w:szCs w:val="28"/>
        </w:rPr>
        <w:t xml:space="preserve">и в 2025 году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ф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Казанский (Приволжский) федеральный университет»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 xml:space="preserve">гранта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Style w:val="Style19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</w:t>
      </w:r>
    </w:p>
    <w:p>
      <w:pPr>
        <w:pStyle w:val="Normal"/>
        <w:widowControl w:val="false"/>
        <w:spacing w:lineRule="auto" w:line="240"/>
        <w:ind w:right="5100" w:firstLine="709"/>
        <w:jc w:val="both"/>
        <w:rPr>
          <w:rFonts w:eastAsia="Times New Roman" w:cs="Times New Roman"/>
          <w:highlight w:val="none"/>
          <w:shd w:fill="auto" w:val="clear"/>
        </w:rPr>
      </w:pPr>
      <w:r>
        <w:rPr>
          <w:rFonts w:eastAsia="Times New Roman" w:cs="Times New Roman"/>
          <w:shd w:fill="auto" w:val="clear"/>
        </w:rPr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1.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Утвердить прилагаемое Положение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предоставлени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 в 2025 году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>ф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Казанский (Приволжский) федеральный университет»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 xml:space="preserve">гранта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Style w:val="Style19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. Установить, что: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настоящее постановление вступает в силу с даты его официального опубликован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ия;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действие настоящего постановления распространяется на правоотношения, возникшие с 1 января 2025 года.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. Приостановить действие постановления Кабинета Министров Республики Татарстан от 21.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06.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2021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№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 493 «О гранте "Поддержка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и порядке его предоставления».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auto" w:val="clear"/>
        </w:rPr>
        <w:t>4</w:t>
      </w:r>
      <w:r>
        <w:rPr>
          <w:rFonts w:ascii="Times New Roman" w:hAnsi="Times New Roman"/>
          <w:sz w:val="28"/>
          <w:szCs w:val="28"/>
          <w:shd w:fill="auto" w:val="clear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Премьер-министр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Республики Татарстан                                                 </w:t>
        <w:tab/>
        <w:t xml:space="preserve">                   </w:t>
        <w:tab/>
        <w:t xml:space="preserve">         А.В.Песошин</w:t>
      </w:r>
      <w:r>
        <w:br w:type="page"/>
      </w:r>
    </w:p>
    <w:p>
      <w:pPr>
        <w:pStyle w:val="Normal"/>
        <w:spacing w:lineRule="auto" w:line="240" w:before="0" w:after="0"/>
        <w:ind w:left="69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  <w:br/>
        <w:t>постановлением</w:t>
      </w:r>
    </w:p>
    <w:p>
      <w:pPr>
        <w:pStyle w:val="ConsPlusNormal"/>
        <w:widowControl/>
        <w:ind w:left="69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widowControl/>
        <w:ind w:left="69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widowControl/>
        <w:ind w:left="6945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 № ______</w:t>
        <w:br/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Положение 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>о  предоставлении в 2025 году федеральному государственному автономному образовательному учреждению высшего образования «Казанский (Приволжский) федеральный университет» гранта 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</w:t>
      </w:r>
    </w:p>
    <w:p>
      <w:pPr>
        <w:pStyle w:val="ConsPlusNormal"/>
        <w:widowControl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widowControl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I. Общие положения</w:t>
      </w:r>
    </w:p>
    <w:p>
      <w:pPr>
        <w:pStyle w:val="ConsPlusNormal"/>
        <w:widowControl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Настоящее Положение разработано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Указом Раиса Республики Татарстан от 12 сентября 2025 года № 720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 грантовой поддержке в 2025 году федерального государственного автономного образовательного учреждения высшего образования «Казанский (Приволжский) федеральный университет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определяет цели, у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словия и механизм предоставления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2025 году гфедеральному государственному автономному образовательному учреждению высшего образования «Казанский (Приволжский) федеральный университет» гранта 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(далее  — грант).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2.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2025 году на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цели, указанные в пункте 3 настоящего Положения, является Министерство образования и науки Республики Татарстан (далее — Министерство).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Грант предоставляется в целях финансового обеспечения затрат, связанных с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поддержкой образовательных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организаций Республики Татарстан,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реализующих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образовательные программы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начального общего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основного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общего,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среднего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общего образования с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углубленным изучением предметов математического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естественно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научного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технологического профилей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.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Размер предоставляемого гранта составляет 250966,6 тыс. рублей. Ежегодно предоставляется один грант.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Способом предоставления гранта является финансовое обеспечение затрат.</w:t>
      </w:r>
    </w:p>
    <w:p>
      <w:pPr>
        <w:pStyle w:val="Style21"/>
        <w:widowControl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4. Получателем гранта является федеральное г</w:t>
      </w:r>
      <w:r>
        <w:rPr>
          <w:rStyle w:val="Style19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осударственное автономное образовательное учреждение высшего образования «</w:t>
      </w:r>
      <w:r>
        <w:rPr>
          <w:rStyle w:val="Strong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Казанский (Приволжский) федеральный университет»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(далее – Получатель).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5. Информация о гранте размещается на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едином портале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бюдже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К направлениям расходов, источником финансового обеспечения которых является грант, относятся: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_89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финансовое обеспечение деятельности Получателя;</w:t>
      </w:r>
    </w:p>
    <w:p>
      <w:pPr>
        <w:pStyle w:val="Style21"/>
        <w:widowControl/>
        <w:spacing w:lineRule="auto" w:line="240" w:before="0" w:after="0"/>
        <w:ind w:firstLine="709"/>
        <w:jc w:val="both"/>
        <w:rPr/>
      </w:pPr>
      <w:bookmarkStart w:id="2" w:name="p_90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профессиональное развитие и повышение квалификации педагогического коллектива Получателя при реализации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образовательных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программ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начального общего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</w:t>
      </w:r>
      <w:bookmarkStart w:id="3" w:name="ext-gen1229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основного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общего,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среднего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общего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образования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углубленным изучением предметов математического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естественно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научного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</w:t>
      </w:r>
      <w:r>
        <w:rPr>
          <w:rStyle w:val="Style12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технологического профилей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_91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материальное поощрение педагогического коллектива по итогам участия обучающихся в интеллектуальных конкурсах и соревнованиях международного, всероссийского и регионального уровней.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Получатель по состоянию на даты рассмотрения заявки и заключения соглашения о предоставлении гранта (далее –</w:t>
      </w:r>
      <w:r>
        <w:rPr>
          <w:rStyle w:val="Style16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соглашение</w:t>
      </w:r>
      <w:r>
        <w:rPr>
          <w:rStyle w:val="Style16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 должен соответствовать следующим требованиям: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не является иностранным юридическим лицом, в том числе местом регистрации которого является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государство или территория, включенные в утвержденный Министерством финансов Российской Федерации </w:t>
      </w:r>
      <w:r>
        <w:rPr>
          <w:rStyle w:val="Style19"/>
          <w:rFonts w:ascii="Times New Roman" w:hAnsi="Times New Roman"/>
          <w:color w:val="000000"/>
          <w:sz w:val="28"/>
          <w:szCs w:val="28"/>
        </w:rPr>
        <w:t>перечень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r>
        <w:rPr>
          <w:rStyle w:val="Style19"/>
          <w:rFonts w:ascii="Times New Roman" w:hAnsi="Times New Roman"/>
          <w:color w:val="000000"/>
          <w:sz w:val="28"/>
          <w:szCs w:val="28"/>
        </w:rPr>
        <w:t>главой VII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установленные </w:t>
      </w:r>
      <w:hyperlink w:anchor="sub_10113">
        <w:r>
          <w:rPr>
            <w:rStyle w:val="Style19"/>
            <w:rFonts w:ascii="Times New Roman" w:hAnsi="Times New Roman"/>
            <w:color w:val="000000"/>
            <w:sz w:val="28"/>
            <w:szCs w:val="28"/>
          </w:rPr>
          <w:t>пунктом 3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настоящего Положения;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является иностранным агентом в соответствии с </w:t>
      </w:r>
      <w:hyperlink r:id="rId2">
        <w:r>
          <w:rPr>
            <w:rStyle w:val="Style19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от 14 июля 2022 года № 255-ФЗ "О контроле за деятельностью лиц, находящихся под иностранным влиянием";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3">
        <w:r>
          <w:rPr>
            <w:rStyle w:val="Style19"/>
            <w:rFonts w:ascii="Times New Roman" w:hAnsi="Times New Roman"/>
            <w:color w:val="000000"/>
            <w:sz w:val="28"/>
            <w:szCs w:val="28"/>
          </w:rPr>
          <w:t>пунктом 3 статьи 47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отсутствует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8.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Для получения гранта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Получатель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представляет в Министерство следующие документы: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заявку, включающую в том числе согласие на публикацию (размещение) в  сети «Интернет» информации о Получателе (полное и сокращенное наименование, дата государственной регистрации, адрес, номер контактного телефона, почтовый адрес и адрес электронной почты для направления юридически значимых сообщений, информация о руководителе,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соглашения, иной информации о Получателе), по форме согласно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приложению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к настоящему Положению;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действующей редакции устав Получателя;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писем поддержки (спонсорских писем) от коммерческих и некоммерческих организаций, органов государственной власти, органов местного самоуправления (при наличии);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лицензии на осуществление образовательной деятельности по образовательным программам начального общего, основного общего, среднего общего образования;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штатного расписания Получателя;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положения о подразделении Получателя, осуществляющего реализацию образовательной программы начального общего, основного общего, среднего общего образования;</w:t>
      </w:r>
    </w:p>
    <w:p>
      <w:pPr>
        <w:pStyle w:val="Normal"/>
        <w:spacing w:lineRule="auto" w:line="240" w:before="0" w:after="46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документов, подтверждающих результативность участия обучающихся в олимпиадах и иных интеллектуальных конкурсах, соревнованиях школьников по предметам математического, естественно-научного и технологического профилей международного, всероссийского, регионального уровней;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информационной справки, подписанной руководителем (уполномоченным лицом) Получателя, содержащей сведения об итогах проведения промежуточной и государственной итоговой аттестации обучающихся по образовательным программам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 за три последних учебных года, предшествующих дате предоставления гранта;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информационной справки, подписанной руководителем (уполномоченным лицом) Получателя, содержащей сведения о результатах практической реализации образовательных программ начального общего, основного общего, среднего общего образования с углубленным изучением предметов математического, естественнонаучного и технологического профилей за три последних учебных года, предшествующих дате предоставления гранта;</w:t>
      </w:r>
    </w:p>
    <w:p>
      <w:pPr>
        <w:pStyle w:val="Normal"/>
        <w:spacing w:lineRule="auto" w:line="240" w:before="57" w:after="57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информационной справки, подписанной руководителем (уполномоченным лицом) и главным бухгалтером Получателя, подтверждающей соответствие Получателя требованиям, установленным </w:t>
      </w:r>
      <w:r>
        <w:rPr>
          <w:rStyle w:val="Style19"/>
          <w:rFonts w:ascii="Times New Roman" w:hAnsi="Times New Roman"/>
          <w:color w:val="000000"/>
          <w:sz w:val="28"/>
          <w:szCs w:val="28"/>
          <w:shd w:fill="auto" w:val="clear"/>
        </w:rPr>
        <w:t>пунктом 7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настоящего Положения;</w:t>
      </w:r>
    </w:p>
    <w:p>
      <w:pPr>
        <w:pStyle w:val="Style21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согласия органа государственной власти (государственного органа) и (или) органа местного самоуправления, осуществляющего функции и полномочия учредителя в отношении Получателя на получение гранта.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9.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Министерство: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регистрирует заявку 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shd w:fill="FFFFFF" w:val="clear"/>
          <w:lang w:eastAsia="zh-CN"/>
        </w:rPr>
        <w:t>Получателя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 день ее поступления в соответствии с 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равилами документооборота;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в пятидневный срок, исчисляемый в рабочих днях, со дня регистрации заявки проверяет заявку 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shd w:fill="auto" w:val="clear"/>
          <w:lang w:eastAsia="zh-CN"/>
        </w:rPr>
        <w:t>Получ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ателя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рассматривает представленные документы на предмет их соответствия требованиям, установленным настоящим Порядком, и принимает решение о предоставлении гранта или об отказе в предоставлении гранта;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случае принятия решения об отказе в предоставлении гранта в пятидневный срок, исчисляемый в рабочих днях, со дня принятия указанного решения возвращает </w:t>
      </w:r>
      <w:r>
        <w:rPr>
          <w:rFonts w:eastAsia="SimSu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Получателю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представленные документы с указанием причин отказа.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Основаниями для отказа в предоставлении гранта являются:</w:t>
      </w:r>
    </w:p>
    <w:p>
      <w:pPr>
        <w:pStyle w:val="Normal"/>
        <w:spacing w:lineRule="auto" w:line="240" w:before="0" w:after="46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несоответствие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представленных </w:t>
      </w:r>
      <w:r>
        <w:rPr>
          <w:rStyle w:val="Style16"/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документов 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>требованиям, определенным настоящим Положением,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46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установление факта недостоверности представленной </w:t>
      </w:r>
      <w:r>
        <w:rPr>
          <w:rStyle w:val="Style16"/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информации;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наличия оснований для отказа в предоставлении гранта Министерство направляет уведомление Получателю с указанием причин отказа в предоставлении гранта в течение пяти календарных дней со дня принятия решения об отказе в предоставлении гранта Получателю.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11. 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Основанием предоставления гранта является соглашение, заключаемое Министерством с</w:t>
      </w: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 xml:space="preserve"> Получателем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Соглашение заключается в трехдневный срок, исчисляемый в рабочих днях, со дня принятия решения о предоставлении гранта в соответствии с типовой формой, утвержденной Министерством финансов Республики Татарстан.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Соглашение должно содержать условия и порядок заключения между Министерством и Получателем дополнительного соглашения к соглашению, в том числе дополнительного соглашения о расторжении соглашения, в соответствии с типовой формой,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утвержденной Министерством финансов Республики Татарстан.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В соглашении предусматриваются: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согласие Получателя,  а также лиц, получающих средства на основании договоров (соглашений),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4">
        <w:r>
          <w:rPr>
            <w:rStyle w:val="Style19"/>
            <w:rFonts w:ascii="Times New Roman" w:hAnsi="Times New Roman"/>
            <w:color w:val="000000"/>
            <w:sz w:val="28"/>
            <w:szCs w:val="28"/>
          </w:rPr>
          <w:t>статьями 268</w:t>
        </w:r>
        <w:r>
          <w:rPr>
            <w:rStyle w:val="Style19"/>
            <w:rFonts w:ascii="Times New Roman" w:hAnsi="Times New Roman"/>
            <w:color w:val="000000"/>
            <w:sz w:val="28"/>
            <w:szCs w:val="28"/>
            <w:vertAlign w:val="superscript"/>
          </w:rPr>
          <w:t>1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и </w:t>
      </w:r>
      <w:hyperlink r:id="rId5">
        <w:r>
          <w:rPr>
            <w:rStyle w:val="Style19"/>
            <w:rFonts w:ascii="Times New Roman" w:hAnsi="Times New Roman"/>
            <w:color w:val="000000"/>
            <w:sz w:val="28"/>
            <w:szCs w:val="28"/>
          </w:rPr>
          <w:t>269</w:t>
        </w:r>
        <w:r>
          <w:rPr>
            <w:rStyle w:val="Style19"/>
            <w:rFonts w:ascii="Times New Roman" w:hAnsi="Times New Roman"/>
            <w:color w:val="000000"/>
            <w:sz w:val="28"/>
            <w:szCs w:val="28"/>
            <w:vertAlign w:val="superscript"/>
          </w:rPr>
          <w:t>2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При реорганизации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Получателя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в форме слияния, присоединения или преобразования в соглашение вносятся изменения путем заключения дополни-тельного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При реорганизации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>Получателя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в форме разделения, выделения, а также при ликвидации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Получателя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Получателем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13. Получателю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, а также иным юридическим лицам, получающим средства на основании договоров (соглашений), заключенных с </w:t>
      </w: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14. Результатом предоставления гранта является комплексное достижение следующих показателей: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_1590_Копия_1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сохранение количества обучающихся, освоивших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профилей, не менее 80 процентов от общего числа обучающихся Получателя;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_1591_Копия_1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увеличение доли обучающихся, ставших победителями и призерами всероссийской олимпиады школьников по отдельным предметам, иных интеллектуальных конкурсов и соревнований различного уровня, до значения не менее чем 5 процентов от общего числа обучающихся Получателя;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_1592_Копия_1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увеличение доли обучающихся, имеющих высокие результаты по итогам государственной итоговой аттестации по образовательным программам основного общего и среднего общего образования, до значения не менее чем 10 процентов от общего числа обучающихся Получателя.</w:t>
      </w:r>
    </w:p>
    <w:p>
      <w:pPr>
        <w:pStyle w:val="Style21"/>
        <w:widowControl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_1593_Копия_1"/>
      <w:bookmarkEnd w:id="8"/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Результат предоставления гранта должен быть достигнут не позднее 30 августа учебного года, в котором был предоставлен грант.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15. Перечисление гранта осуществляется на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расчетные или корреспондентские счета, открытые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, в учреждениях Центрального банка Российской Федерации или кредитных организациях, в 10-дневный срок, исчисляемый в рабочих днях, со дня заключения соглашения.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16.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Получатель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ежеквартально, не позднее 15 числа месяца, следующего за отчетным кварталом, представляет в Министерство 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по формам, прилагаемым к типовой форме соглашения, установленной Министерством финансов Республики Татарстан. 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Министерство осуществляет проверку и принятие отчетов, представленных в соответствии с настоящим пунктом, в срок, не превышающий 10 рабочих дней со дня представления указанных отчетов.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17. Министерство осуществляет проверку соблюдения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порядка и условий предоставления гранта, в том числе в части достижения результата предоставления гранта.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eastAsia="Cambria Math" w:cs="Cambria Math" w:ascii="Times New Roman" w:hAnsi="Times New Roman"/>
          <w:color w:val="000000"/>
          <w:sz w:val="28"/>
          <w:szCs w:val="28"/>
        </w:rPr>
        <w:t>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269</w:t>
      </w:r>
      <w:r>
        <w:rPr>
          <w:rFonts w:eastAsia="Cambria Math" w:cs="Cambria Math" w:ascii="Times New Roman" w:hAnsi="Times New Roman"/>
          <w:color w:val="000000"/>
          <w:sz w:val="28"/>
          <w:szCs w:val="28"/>
        </w:rPr>
        <w:t>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Мониторинг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18. Предоставленный грант подлежит возврату в полном объеме в доход бюджета Республики Татарстан в 30-дневный срок со дня получения соответствующего требования Министерства 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в случае нарушения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условий, установленных при предоставлении гранта, установленных настоящим Положением,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19. Остатки средств, источником финансового обеспечения которых является грант, не использованные в отчетном финансовом го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ду, подлежат возврату в доход бюджета Республики Татарстан не позднее 1 февраля 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2026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года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20.  В случае отказа от добровольного возврата в доход бюджета Республики Татарстан средств, указанных в 18 и 19 настоящего Положения, они подлежат взысканию Министерством в принудительном порядке в семидневный срок, исчисляемый в рабочих днях, в соответствии с законодательством Российской Федерации.</w:t>
      </w:r>
    </w:p>
    <w:p>
      <w:pPr>
        <w:pStyle w:val="Normal"/>
        <w:widowControl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ind w:left="5812" w:hanging="0"/>
        <w:jc w:val="both"/>
        <w:rPr/>
      </w:pPr>
      <w:r>
        <w:rPr>
          <w:rFonts w:eastAsia="Times New Roman" w:cs="Times New Roman" w:ascii="Times New Roman" w:hAnsi="Times New Roman"/>
          <w:sz w:val="25"/>
          <w:szCs w:val="25"/>
          <w:shd w:fill="FFFFFF" w:val="clear"/>
        </w:rPr>
        <w:t>Приложение</w:t>
        <w:br/>
        <w:t xml:space="preserve">к Положению </w:t>
      </w:r>
      <w:r>
        <w:rPr>
          <w:rFonts w:eastAsia="Times New Roman" w:cs="Times New Roman" w:ascii="Times New Roman" w:hAnsi="Times New Roman"/>
          <w:sz w:val="25"/>
          <w:szCs w:val="25"/>
          <w:shd w:fill="auto" w:val="clear"/>
        </w:rPr>
        <w:t>о  предоставлении в 2025 году федеральному государственному автономному образовательному учреждению высшего образования «Казанский (Приволжский) федеральный университет» гранта 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</w:t>
      </w:r>
    </w:p>
    <w:p>
      <w:pPr>
        <w:pStyle w:val="Normal"/>
        <w:spacing w:lineRule="auto" w:line="240"/>
        <w:ind w:left="5812" w:hanging="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40"/>
        <w:ind w:left="5760" w:hanging="0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eastAsia="Times New Roman" w:cs="Times New Roman" w:ascii="Times New Roman" w:hAnsi="Times New Roman"/>
          <w:sz w:val="25"/>
          <w:szCs w:val="25"/>
        </w:rPr>
        <w:t>ф</w:t>
      </w:r>
      <w:r>
        <w:rPr>
          <w:rFonts w:eastAsia="Times New Roman" w:cs="Times New Roman" w:ascii="Times New Roman" w:hAnsi="Times New Roman"/>
          <w:sz w:val="25"/>
          <w:szCs w:val="25"/>
        </w:rPr>
        <w:t>орма</w:t>
      </w:r>
    </w:p>
    <w:p>
      <w:pPr>
        <w:pStyle w:val="Normal"/>
        <w:spacing w:lineRule="auto" w:line="240"/>
        <w:ind w:left="720" w:firstLine="720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получение </w:t>
      </w:r>
      <w:r>
        <w:rPr>
          <w:rFonts w:eastAsia="Times New Roman" w:cs="Times New Roman" w:ascii="Times New Roman" w:hAnsi="Times New Roman"/>
          <w:strike w:val="false"/>
          <w:dstrike w:val="false"/>
          <w:sz w:val="28"/>
          <w:szCs w:val="28"/>
          <w:shd w:fill="auto" w:val="clear"/>
        </w:rPr>
        <w:t xml:space="preserve">гранта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«</w:t>
      </w:r>
      <w:r>
        <w:rPr>
          <w:rStyle w:val="Style19"/>
          <w:rFonts w:eastAsia="Times New Roman" w:cs="Times New Roman" w:ascii="Times New Roman" w:hAnsi="Times New Roman"/>
          <w:color w:val="000000"/>
          <w:sz w:val="28"/>
          <w:szCs w:val="28"/>
          <w:shd w:fill="auto" w:val="clear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»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«___»__________ 2025 г.</w:t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Полное наименование юридического лица:_______________________________________.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Сокращенное </w:t>
      </w:r>
      <w:r>
        <w:rPr>
          <w:rFonts w:eastAsia="Times New Roman" w:cs="Times New Roman" w:ascii="Times New Roman" w:hAnsi="Times New Roman"/>
          <w:sz w:val="24"/>
          <w:szCs w:val="24"/>
        </w:rPr>
        <w:t>наименование юридического лица:__________________________________.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государственной регистрации юридического лица:____________________________.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Сумма субсидии:_____________________________________________________________.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Место нахождения юридического лица:__________________________________________.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Почтовый адрес юридического лица: ____________________________________________.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Контактный номер телефона, адрес электронной почты для направления юридически значимых сообщений: _________________________________________________________________.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Информация о счетах в соответствии с законодательством Российской Федерации для перечисления субсидии: ____________________________________________________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9. Информация о руководителе, лице, уполномоченном на подписание соглашения о пре-доставлении субсидии (ФИО (последнее – при наличии)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, должность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: 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10.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еречень основных и дополнительных видов деятельности, которые </w:t>
      </w:r>
      <w:r>
        <w:rPr>
          <w:rFonts w:eastAsia="SimSu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юридическое лицо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вправе осуществлять в соответствии с учредительными документами: 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11. Предлагаемые значения результатов предоставления субсидии: _________________________________________________________________________________________________________________________________________________________________________.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Настоящей заявкой Получатель подтверждает соответствие требованиям, установленным пунктом 7 предоставле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ния в 2025 году гранта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профилей»</w:t>
      </w:r>
      <w:r>
        <w:rPr>
          <w:rFonts w:eastAsia="Times New Roman" w:cs="Times New Roman" w:ascii="Times New Roman" w:hAnsi="Times New Roman"/>
          <w:sz w:val="25"/>
          <w:szCs w:val="25"/>
          <w:shd w:fill="auto" w:val="clear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утвержденного постановлением Кабинета Министров Республики Татарстан от __.__.2025 № ___ «Об утверждении Положения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о  предоставлении в 2025 году федеральному государственному автономному образовательному учреждению высшего образования «Казанский (Приволжский) федеральный университет» гранта  «Поддержка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>
        <w:rPr>
          <w:rFonts w:eastAsia="Times New Roman" w:cs="Times New Roman" w:ascii="Times New Roman" w:hAnsi="Times New Roman"/>
          <w:sz w:val="24"/>
          <w:szCs w:val="24"/>
        </w:rPr>
        <w:t>».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Настоящей заявкой Получатель подтверждает согласие на публикацию (размещение) в информационно-телекоммуникационной сети «Интернет» информации о юридическом лице, о подаваемой юридическим лицом заявке, иной информации о юридическом лице, связанной с соответствующим отбором на предоставление субсидии.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Приложения: 1.</w:t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</w:t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38" w:type="dxa"/>
        <w:jc w:val="left"/>
        <w:tblInd w:w="10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lastRow="0" w:firstRow="0" w:lastColumn="0" w:firstColumn="0" w:val="0600" w:noHBand="1" w:noVBand="1"/>
      </w:tblPr>
      <w:tblGrid>
        <w:gridCol w:w="2822"/>
        <w:gridCol w:w="4277"/>
        <w:gridCol w:w="2539"/>
      </w:tblGrid>
      <w:tr>
        <w:trPr>
          <w:trHeight w:val="632" w:hRule="atLeast"/>
        </w:trPr>
        <w:tc>
          <w:tcPr>
            <w:tcW w:w="2822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ind w:firstLine="6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(Ф.И.О. (последнее – при наличии))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lineRule="auto" w:line="24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/___________</w:t>
            </w:r>
          </w:p>
          <w:p>
            <w:pPr>
              <w:pStyle w:val="Normal"/>
              <w:widowControl w:val="false"/>
              <w:spacing w:lineRule="auto" w:line="240" w:before="0" w:after="1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>
      <w:pPr>
        <w:pStyle w:val="Normal"/>
        <w:spacing w:lineRule="auto" w:line="240" w:before="0" w:after="16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709" w:footer="0" w:bottom="1134"/>
      <w:pgNumType w:start="1" w:fmt="decimal"/>
      <w:formProt w:val="false"/>
      <w:titlePg/>
      <w:textDirection w:val="lrTb"/>
      <w:docGrid w:type="default" w:linePitch="360" w:charSpace="3440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64" w:hanging="145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 w:asciiTheme="minorHAnsi" w:cstheme="minorBidi" w:eastAsiaTheme="minorEastAsia" w:hAnsiTheme="minorHAnsi"/>
        <w:sz w:val="21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SimSun" w:cs="Arial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pBdr>
        <w:bottom w:val="single" w:sz="4" w:space="2" w:color="ED7D31"/>
      </w:pBdr>
      <w:spacing w:lineRule="auto" w:line="240" w:before="360" w:after="120"/>
      <w:outlineLvl w:val="0"/>
    </w:pPr>
    <w:rPr>
      <w:rFonts w:ascii="Calibri Light" w:hAnsi="Calibri Light" w:eastAsia="SimHei" w:cs="Arial" w:asciiTheme="majorHAnsi" w:cstheme="majorBidi" w:eastAsiaTheme="majorEastAsia" w:hAnsiTheme="majorHAnsi"/>
      <w:color w:val="262626" w:themeColor="text1" w:themeTint="d9"/>
      <w:sz w:val="40"/>
      <w:szCs w:val="40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pacing w:lineRule="auto" w:line="240" w:before="120" w:after="0"/>
      <w:outlineLvl w:val="1"/>
    </w:pPr>
    <w:rPr>
      <w:rFonts w:ascii="Calibri Light" w:hAnsi="Calibri Light" w:eastAsia="SimHei" w:cs="Arial" w:asciiTheme="majorHAnsi" w:cstheme="majorBidi" w:eastAsiaTheme="majorEastAsia" w:hAnsiTheme="majorHAnsi"/>
      <w:color w:val="ED7D31" w:themeColor="accent2"/>
      <w:sz w:val="36"/>
      <w:szCs w:val="36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lineRule="auto" w:line="240" w:before="80" w:after="0"/>
      <w:outlineLvl w:val="2"/>
    </w:pPr>
    <w:rPr>
      <w:rFonts w:ascii="Calibri Light" w:hAnsi="Calibri Light" w:eastAsia="SimHei" w:cs="Arial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paragraph" w:styleId="4">
    <w:name w:val="Heading 4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3"/>
    </w:pPr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4"/>
    </w:pPr>
    <w:rPr>
      <w:rFonts w:ascii="Calibri Light" w:hAnsi="Calibri Light" w:eastAsia="SimHei" w:cs="Arial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paragraph" w:styleId="6">
    <w:name w:val="Heading 6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5"/>
    </w:pPr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6"/>
    </w:pPr>
    <w:rPr>
      <w:rFonts w:ascii="Calibri Light" w:hAnsi="Calibri Light" w:eastAsia="SimHei" w:cs="Arial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7"/>
    </w:pPr>
    <w:rPr>
      <w:rFonts w:ascii="Calibri Light" w:hAnsi="Calibri Light" w:eastAsia="SimHei" w:cs="Arial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paragraph" w:styleId="9">
    <w:name w:val="Heading 9"/>
    <w:basedOn w:val="Normal"/>
    <w:uiPriority w:val="9"/>
    <w:semiHidden/>
    <w:unhideWhenUsed/>
    <w:qFormat/>
    <w:pPr>
      <w:keepNext w:val="true"/>
      <w:keepLines/>
      <w:spacing w:lineRule="auto" w:line="240" w:before="80" w:after="0"/>
      <w:outlineLvl w:val="8"/>
    </w:pPr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31" w:customStyle="1">
    <w:name w:val="Заголовок 3 Знак"/>
    <w:basedOn w:val="DefaultParagraphFont"/>
    <w:uiPriority w:val="9"/>
    <w:qFormat/>
    <w:rPr>
      <w:rFonts w:ascii="Calibri Light" w:hAnsi="Calibri Light" w:eastAsia="SimHei" w:cs="Arial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character" w:styleId="Style9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Название Знак"/>
    <w:basedOn w:val="DefaultParagraphFont"/>
    <w:uiPriority w:val="10"/>
    <w:qFormat/>
    <w:rPr>
      <w:rFonts w:ascii="Calibri Light" w:hAnsi="Calibri Light" w:eastAsia="SimHei" w:cs="Arial" w:asciiTheme="majorHAnsi" w:cstheme="majorBidi" w:eastAsiaTheme="majorEastAsia" w:hAnsiTheme="majorHAnsi"/>
      <w:color w:val="262626" w:themeColor="text1" w:themeTint="d9"/>
      <w:sz w:val="96"/>
      <w:szCs w:val="96"/>
    </w:rPr>
  </w:style>
  <w:style w:type="character" w:styleId="11" w:customStyle="1">
    <w:name w:val="Заголовок 1 Знак"/>
    <w:basedOn w:val="DefaultParagraphFont"/>
    <w:uiPriority w:val="9"/>
    <w:qFormat/>
    <w:rPr>
      <w:rFonts w:ascii="Calibri Light" w:hAnsi="Calibri Light" w:eastAsia="SimHei" w:cs="Arial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color w:val="ED7D31" w:themeColor="accent2"/>
      <w:sz w:val="36"/>
      <w:szCs w:val="36"/>
    </w:rPr>
  </w:style>
  <w:style w:type="character" w:styleId="41" w:customStyle="1">
    <w:name w:val="Заголовок 4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character" w:styleId="71" w:customStyle="1">
    <w:name w:val="Заголовок 7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ascii="Calibri Light" w:hAnsi="Calibri Light" w:eastAsia="SimHei" w:cs="Arial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Style11" w:customStyle="1">
    <w:name w:val="Подзаголовок Знак"/>
    <w:basedOn w:val="DefaultParagraphFont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2">
    <w:name w:val="Emphasis"/>
    <w:basedOn w:val="DefaultParagraphFont"/>
    <w:uiPriority w:val="20"/>
    <w:qFormat/>
    <w:rPr>
      <w:i/>
      <w:iCs/>
      <w:color w:val="000000" w:themeColor="text1"/>
    </w:rPr>
  </w:style>
  <w:style w:type="character" w:styleId="22" w:customStyle="1">
    <w:name w:val="Цитата 2 Знак"/>
    <w:basedOn w:val="DefaultParagraphFont"/>
    <w:uiPriority w:val="29"/>
    <w:qFormat/>
    <w:rPr>
      <w:rFonts w:ascii="Calibri Light" w:hAnsi="Calibri Light" w:eastAsia="SimHei" w:cs="Arial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Style13" w:customStyle="1">
    <w:name w:val="Выделенная цитата Знак"/>
    <w:basedOn w:val="DefaultParagraphFont"/>
    <w:uiPriority w:val="30"/>
    <w:qFormat/>
    <w:rPr>
      <w:rFonts w:ascii="Calibri Light" w:hAnsi="Calibri Light" w:eastAsia="SimHei" w:cs="Arial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false"/>
      <w:smallCaps w:val="false"/>
      <w:strike w:val="false"/>
      <w:dstrike w:val="false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spacing w:val="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0"/>
    </w:rPr>
  </w:style>
  <w:style w:type="character" w:styleId="Style14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5" w:customStyle="1">
    <w:name w:val="Нижний колонтитул Знак"/>
    <w:basedOn w:val="DefaultParagraphFont"/>
    <w:uiPriority w:val="99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6" w:customStyle="1">
    <w:name w:val="Цветовое выделение для Текст"/>
    <w:qFormat/>
    <w:rPr>
      <w:rFonts w:ascii="Arial" w:hAnsi="Arial" w:eastAsia="Arial" w:cs="Arial"/>
      <w:sz w:val="26"/>
      <w:szCs w:val="26"/>
      <w:lang w:val="ru-RU" w:bidi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c01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d65c01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d65c01"/>
    <w:rPr>
      <w:b/>
      <w:bCs/>
      <w:sz w:val="20"/>
      <w:szCs w:val="20"/>
    </w:rPr>
  </w:style>
  <w:style w:type="character" w:styleId="Linenumber">
    <w:name w:val="line number"/>
    <w:qFormat/>
    <w:rPr/>
  </w:style>
  <w:style w:type="character" w:styleId="Style19">
    <w:name w:val="Гипертекстовая ссылка"/>
    <w:qFormat/>
    <w:rPr>
      <w:b w:val="false"/>
      <w:bCs w:val="false"/>
      <w:color w:val="106BB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uiPriority w:val="10"/>
    <w:qFormat/>
    <w:pPr>
      <w:spacing w:lineRule="auto" w:line="240" w:before="0" w:after="0"/>
      <w:contextualSpacing/>
    </w:pPr>
    <w:rPr>
      <w:rFonts w:ascii="Calibri Light" w:hAnsi="Calibri Light" w:eastAsia="SimHei" w:cs="Arial" w:asciiTheme="majorHAnsi" w:cstheme="majorBidi" w:eastAsiaTheme="majorEastAsia" w:hAnsiTheme="majorHAnsi"/>
      <w:color w:val="262626" w:themeColor="text1" w:themeTint="d9"/>
      <w:sz w:val="96"/>
      <w:szCs w:val="96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40"/>
    </w:pPr>
    <w:rPr>
      <w:b/>
      <w:bCs/>
      <w:color w:val="404040" w:themeColor="text1" w:themeTint="bf"/>
      <w:sz w:val="16"/>
      <w:szCs w:val="16"/>
    </w:rPr>
  </w:style>
  <w:style w:type="paragraph" w:styleId="Indexheading">
    <w:name w:val="index heading"/>
    <w:basedOn w:val="Style25"/>
    <w:qFormat/>
    <w:pPr/>
    <w:rPr/>
  </w:style>
  <w:style w:type="paragraph" w:styleId="Style2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1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1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 w:cstheme="minorBidi"/>
      <w:b/>
      <w:bCs/>
      <w:color w:val="auto"/>
      <w:kern w:val="0"/>
      <w:sz w:val="16"/>
      <w:szCs w:val="16"/>
      <w:lang w:val="ru-RU" w:eastAsia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0">
    <w:name w:val="Subtitle"/>
    <w:basedOn w:val="Normal"/>
    <w:uiPriority w:val="11"/>
    <w:qFormat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Arial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Quote">
    <w:name w:val="Quote"/>
    <w:basedOn w:val="Normal"/>
    <w:uiPriority w:val="29"/>
    <w:qFormat/>
    <w:pPr>
      <w:spacing w:before="160" w:after="160"/>
      <w:ind w:left="720" w:right="720" w:hanging="0"/>
      <w:jc w:val="center"/>
    </w:pPr>
    <w:rPr>
      <w:rFonts w:ascii="Calibri Light" w:hAnsi="Calibri Light" w:eastAsia="SimHei" w:cs="Arial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"/>
    <w:uiPriority w:val="30"/>
    <w:qFormat/>
    <w:pPr>
      <w:pBdr>
        <w:top w:val="single" w:sz="24" w:space="4" w:color="ED7D31"/>
      </w:pBdr>
      <w:spacing w:lineRule="auto" w:line="240" w:before="240" w:after="240"/>
      <w:ind w:left="936" w:right="936" w:hanging="0"/>
      <w:jc w:val="center"/>
    </w:pPr>
    <w:rPr>
      <w:rFonts w:ascii="Calibri Light" w:hAnsi="Calibri Light" w:eastAsia="SimHei" w:cs="Arial" w:asciiTheme="majorHAnsi" w:cstheme="majorBidi" w:eastAsiaTheme="majorEastAsia" w:hAnsiTheme="majorHAnsi"/>
      <w:sz w:val="24"/>
      <w:szCs w:val="24"/>
    </w:rPr>
  </w:style>
  <w:style w:type="paragraph" w:styleId="Style31">
    <w:name w:val="Index Heading"/>
    <w:basedOn w:val="Style20"/>
    <w:pPr/>
    <w:rPr/>
  </w:style>
  <w:style w:type="paragraph" w:styleId="Style32">
    <w:name w:val="TOC Heading"/>
    <w:basedOn w:val="1"/>
    <w:uiPriority w:val="39"/>
    <w:semiHidden/>
    <w:unhideWhenUsed/>
    <w:qFormat/>
    <w:pPr>
      <w:outlineLvl w:val="9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33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d65c0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d65c01"/>
    <w:pPr/>
    <w:rPr>
      <w:b/>
      <w:bCs/>
    </w:rPr>
  </w:style>
  <w:style w:type="paragraph" w:styleId="Revision">
    <w:name w:val="Revision"/>
    <w:uiPriority w:val="99"/>
    <w:semiHidden/>
    <w:qFormat/>
    <w:rsid w:val="00d65c01"/>
    <w:pPr>
      <w:widowControl/>
      <w:suppressAutoHyphens w:val="false"/>
      <w:bidi w:val="0"/>
      <w:spacing w:before="0" w:after="0"/>
      <w:jc w:val="left"/>
    </w:pPr>
    <w:rPr>
      <w:rFonts w:ascii="Calibri" w:hAnsi="Calibri" w:eastAsia="SimSun" w:cs="Arial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4991865/0" TargetMode="External"/><Relationship Id="rId3" Type="http://schemas.openxmlformats.org/officeDocument/2006/relationships/hyperlink" Target="https://internet.garant.ru/document/redirect/10900200/473" TargetMode="External"/><Relationship Id="rId4" Type="http://schemas.openxmlformats.org/officeDocument/2006/relationships/hyperlink" Target="https://internet.garant.ru/document/redirect/12112604/2681" TargetMode="External"/><Relationship Id="rId5" Type="http://schemas.openxmlformats.org/officeDocument/2006/relationships/hyperlink" Target="https://internet.garant.ru/document/redirect/12112604/2692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SimHei"/>
        <a:cs typeface="Arial"/>
      </a:majorFont>
      <a:minorFont>
        <a:latin typeface="Calibri"/>
        <a:ea typeface="SimSun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545B-2BA2-4BA7-A335-5FDABD728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Application>LibreOffice/7.5.6.2$Linux_X86_64 LibreOffice_project/50$Build-2</Application>
  <AppVersion>15.0000</AppVersion>
  <Pages>10</Pages>
  <Words>2470</Words>
  <Characters>20236</Characters>
  <CharactersWithSpaces>22715</CharactersWithSpaces>
  <Paragraphs>109</Paragraphs>
  <Company>Innopolis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Минюст РТ-Чумаков Сергей Петрович</dc:creator>
  <dc:description/>
  <dc:language>ru-RU</dc:language>
  <cp:lastModifiedBy/>
  <cp:lastPrinted>2025-02-17T09:33:00Z</cp:lastPrinted>
  <dcterms:modified xsi:type="dcterms:W3CDTF">2025-09-17T18:55:06Z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