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3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ыдаче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предварительного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7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3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3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ыдаче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73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73"/>
        <w:ind w:left="0" w:right="42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07.10.2022 № под-1683/22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ыдаче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предварительного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pStyle w:val="873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7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3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 xml:space="preserve"> </w:t>
        <w:tab/>
        <w:t xml:space="preserve">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3"/>
        <w:ind w:left="638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3"/>
        <w:ind w:left="6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   образования и науки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left="6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left="6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2025 №_______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/>
        <w:tabs>
          <w:tab w:val="left" w:pos="1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1" w:name="P39"/>
      <w:r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государственной услуги по в</w:t>
      </w:r>
      <w:r>
        <w:rPr>
          <w:rFonts w:ascii="Times New Roman" w:hAnsi="Times New Roman"/>
          <w:b/>
          <w:sz w:val="28"/>
          <w:szCs w:val="28"/>
        </w:rPr>
        <w:t xml:space="preserve">ыдаче</w:t>
      </w:r>
      <w:r>
        <w:rPr>
          <w:rFonts w:ascii="Times New Roman" w:hAnsi="Times New Roman"/>
          <w:b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b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выдаче</w:t>
      </w:r>
      <w:r>
        <w:rPr>
          <w:rFonts w:ascii="Times New Roman" w:hAnsi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Заявителями на предоставление государственной услуги являются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законные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несовершеннолетних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до 18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лет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действующие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далее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–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заявитель</w:t>
      </w:r>
      <w:r>
        <w:rPr>
          <w:rFonts w:hAnsi="Times New Roman" w:cs="Times New Roman"/>
          <w:sz w:val="28"/>
          <w:szCs w:val="28"/>
        </w:rPr>
        <w:t xml:space="preserve">).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64"/>
        <w:ind w:left="349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ind w:firstLine="708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Выдача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определение (выдел) доле</w:t>
      </w:r>
      <w:r>
        <w:rPr>
          <w:rFonts w:ascii="Times New Roman" w:hAnsi="Times New Roman" w:cs="Times New Roman"/>
          <w:sz w:val="28"/>
          <w:szCs w:val="28"/>
        </w:rPr>
        <w:t xml:space="preserve">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предоставляется органом опеки и попечительства по месту жительству заявителя.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 решение о предоставлении государственной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ыдаче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ыдаче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5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решение об отказе в приеме документов, необходимых для предоставления услуги (Приложение № 4 к настоящему Регламенту).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средством Единого портала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заявитель в день регистрации запроса получает в личном кабинете Единого портала (при наличии технической возможности), Республиканского портала по электронной почте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12" w:tooltip="https://internet.garant.ru/#/document/10164504/entry/0" w:history="1">
        <w:r>
          <w:rPr>
            <w:rStyle w:val="86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history="1">
        <w:r>
          <w:rPr>
            <w:rStyle w:val="86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history="1">
        <w:r>
          <w:rPr>
            <w:rStyle w:val="86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 не требуется.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При предоставлении государственной услуги используются: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– запись) осуществляется 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Республиканском портале;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(бездействие) органа опеки и попечительства, а также его должностных лиц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ными служащими.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2.10.5.2. Формирование запроса осуществляется посредством заполнения электронной формы запроса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запроса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(Приложение №1 к настоящему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74"/>
        <w:contextualSpacing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6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правоустанавливающие документы на движимое имущество;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ind w:firstLine="566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566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об установлении отцовства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выданное компетентными органами иностранного государства, и его нотариально удостоверенный перевод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запрос подается в отношении усыновленного несовершеннолетнего);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смерти родителя несовершеннолетнего, выданное компетентными органами иностранного государства, и его нотариально удостоверенный перевод на русский язык (при наличии указанных обстоятельств);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 (приложение №7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данных, разрешённых для распространения (приложение №8 к настоящему Регламенту).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один из родителей заявителя лишен или ограничен в </w:t>
      </w:r>
      <w:r>
        <w:rPr>
          <w:rFonts w:ascii="Times New Roman" w:hAnsi="Times New Roman" w:cs="Times New Roman"/>
          <w:sz w:val="28"/>
          <w:szCs w:val="28"/>
        </w:rPr>
        <w:t xml:space="preserve">родительских правах, либо признан недееспособным или безвестно отсутствующим, либо умер или считается умершим, иной родитель заявителя представляет документ, удостоверяющий личность (при личном обращении в орган опеки, попечительства) и запрос (согласие</w:t>
      </w:r>
      <w:r>
        <w:rPr>
          <w:rFonts w:ascii="Times New Roman" w:hAnsi="Times New Roman" w:cs="Times New Roman"/>
          <w:sz w:val="28"/>
          <w:szCs w:val="28"/>
        </w:rPr>
        <w:t xml:space="preserve">) по форме приложения №1 к настоящему Регламенту единолично. В случаях, когда один из родителей несовершеннолетнего признан безвестно отсутствующим, заявитель дополнительно представляет решение суда о признании безвестно отсутствующим указанного родителя.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2.11.3. Документы, сведения, которые подлежат представлению в рамках межведомственного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ионного взаимодействия из уполномоченных органов: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 о рождении ребенка;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о заключении (расторжении) брака;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об установлении отцовства;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сведения об установлении опеки над ребенком из решения органа опеки и попечительства;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сведения о регистрационном учете по месту жительства и месту пребывания,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справка, что место нахождения разыскиваемого родителя не установлено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сведения о нахождении ребенка на полном государственном обеспечении;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сведения об изменении фамилии, имени или отчества для лиц, изменивших фамилию, имя или отчество;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сведения об ограничении родительских прав;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spacing w:after="0" w:line="240" w:lineRule="auto"/>
        <w:rPr>
          <w:rFonts w:asci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9) сведения об отобрании ребенка при непосредственной угрозе его жизни или здоровью;</w:t>
      </w:r>
      <w:r>
        <w:rPr>
          <w:rFonts w:ascii="Times New Roman" w:cs="Times New Roman"/>
        </w:rPr>
      </w:r>
      <w:r>
        <w:rPr>
          <w:rFonts w:ascii="Times New Roman" w:cs="Times New Roman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сведения, подтверждающие полномочия представителя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сведения из Единого государственного реестра прав на недв</w:t>
      </w:r>
      <w:r>
        <w:rPr>
          <w:rFonts w:ascii="Times New Roman" w:hAnsi="Times New Roman"/>
          <w:sz w:val="28"/>
          <w:szCs w:val="28"/>
        </w:rPr>
        <w:t xml:space="preserve">ижимое имущество и сделок с ним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уполномоченных органов: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лишении (ограничении) родительских прав другого родителя</w:t>
      </w:r>
      <w:r>
        <w:rPr>
          <w:rFonts w:ascii="Times New Roman CYR" w:hAnsi="Times New Roman CYR" w:cs="Times New Roman CYR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признании недееспособным </w:t>
      </w:r>
      <w:r>
        <w:rPr>
          <w:rFonts w:ascii="Times New Roman" w:hAnsi="Times New Roman"/>
          <w:sz w:val="28"/>
          <w:szCs w:val="28"/>
        </w:rPr>
        <w:t xml:space="preserve">другого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смерти другого родителя.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сведений, предусмотренных пунктом 2.11.1 настоящего Регламента,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.12.2.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№4 к настоящему Регламенту, подписывается усиленной квалифицированной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электронной подписью в установленном порядке уполномоченным должностным лицом органа опеки и попечительства, и направляется заявителю выбранным им способом: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никационной сети «Интернет»;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Не допускается отказ 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 и порядке предоставления государственной услуги, опубликованной на Едином портале, Республиканском портале, официальном сайте органа опеки и попечительства.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заявитель не соответствует категории лиц, имеющих право на предоставление услуги, предусмотренным пунктом 1.2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оснований для отказа в предоставлении государственной услуги является исчерпывающим.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73"/>
        <w:jc w:val="lef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профилирование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исправление технической ошибки.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отдела опеки и попечительства, МФЦ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9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Результат процедуры, приведенном в Таблице 2 приложения №9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http://mfc16.tatarstan.ru.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 портале,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с запросом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2.12.5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приеме документов (приложение № 4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запросам документы (их копии или сведения, содержащиеся в них),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916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Если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3.3.5.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3.3.6.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№4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выдаче</w:t>
      </w:r>
      <w:r>
        <w:rPr>
          <w:rFonts w:ascii="Times New Roman" w:hAnsi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 или проект согласия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выдаче</w:t>
      </w:r>
      <w:r>
        <w:rPr>
          <w:rFonts w:ascii="Times New Roman" w:hAnsi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выдаче</w:t>
      </w:r>
      <w:r>
        <w:rPr>
          <w:rFonts w:ascii="Times New Roman" w:hAnsi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Согласованные проекты согласия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выдаче</w:t>
      </w:r>
      <w:r>
        <w:rPr>
          <w:rFonts w:ascii="Times New Roman" w:hAnsi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направляется лицом либо проекта отказа в предоставлении государственной услуги, ответственным за подготовку проектов,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предоставление услуги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услуги) или (проект согласия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выдаче</w:t>
      </w:r>
      <w:r>
        <w:rPr>
          <w:rFonts w:ascii="Times New Roman" w:hAnsi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запросе, или заказным письмом с уведомлением о вручении в случае, если электронная почта им в запросе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567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заявлением заявителя.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об исправлении технической ошибки (приложение № 3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принятое и зарегистрированный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 выполняется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Style w:val="882"/>
          <w:rFonts w:ascii="Times New Roman" w:hAnsi="Times New Roman" w:cs="Times New Roman"/>
          <w:b w:val="0"/>
          <w:bCs/>
          <w:color w:val="auto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left="5103" w:firstLine="561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298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6480"/>
        <w:jc w:val="center"/>
        <w:spacing w:after="0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</w:r>
    </w:p>
    <w:p>
      <w:pPr>
        <w:ind w:hanging="45"/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Запрос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hanging="45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предварительное разрешение на определение (выдел) </w:t>
      </w:r>
      <w:r>
        <w:rPr>
          <w:rFonts w:ascii="Times New Roman" w:hAnsi="Times New Roman" w:cs="Times New Roman"/>
          <w:sz w:val="24"/>
          <w:szCs w:val="24"/>
        </w:rPr>
        <w:t xml:space="preserve">долей в имуществе несовершеннолетнего с определением дол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 (последнее - при наличии) несовершеннолетнего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моего (моих) ребенка (детей) не ущемляются.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направить ответ по предоставлению государственной услуги следующим способом: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20320</wp:posOffset>
                </wp:positionV>
                <wp:extent cx="57785" cy="71755"/>
                <wp:effectExtent l="12700" t="8890" r="5715" b="5080"/>
                <wp:wrapNone/>
                <wp:docPr id="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276.75pt;mso-position-horizontal:absolute;mso-position-vertical-relative:text;margin-top:1.60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344805</wp:posOffset>
                </wp:positionV>
                <wp:extent cx="57785" cy="71755"/>
                <wp:effectExtent l="7620" t="13970" r="10795" b="9525"/>
                <wp:wrapNone/>
                <wp:docPr id="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text;margin-left:223.85pt;mso-position-horizontal:absolute;mso-position-vertical-relative:text;margin-top:27.15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39370</wp:posOffset>
                </wp:positionV>
                <wp:extent cx="57785" cy="71755"/>
                <wp:effectExtent l="8890" t="12700" r="952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266.70pt;mso-position-horizontal:absolute;mso-position-vertical-relative:text;margin-top:3.10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240030</wp:posOffset>
                </wp:positionV>
                <wp:extent cx="57785" cy="71755"/>
                <wp:effectExtent l="13335" t="8255" r="5080" b="5715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62336;o:allowoverlap:true;o:allowincell:true;mso-position-horizontal-relative:text;margin-left:477.80pt;mso-position-horizontal:absolute;mso-position-vertical-relative:text;margin-top:18.90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27305</wp:posOffset>
                </wp:positionV>
                <wp:extent cx="57785" cy="71755"/>
                <wp:effectExtent l="6350" t="13970" r="12065" b="9525"/>
                <wp:wrapNone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63360;o:allowoverlap:true;o:allowincell:true;mso-position-horizontal-relative:text;margin-left:90.25pt;mso-position-horizontal:absolute;mso-position-vertical-relative:text;margin-top:2.15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5) через МФЦ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___________________  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            (расшифровка подписи)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72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709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6480"/>
        <w:jc w:val="center"/>
        <w:spacing w:after="0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</w:r>
    </w:p>
    <w:p>
      <w:pPr>
        <w:pStyle w:val="874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Запрос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Прошу дать предварительное разрешение на определение (выдел) долей в </w:t>
      </w:r>
      <w:r>
        <w:rPr>
          <w:rFonts w:ascii="Times New Roman" w:hAnsi="Times New Roman"/>
          <w:sz w:val="24"/>
          <w:szCs w:val="24"/>
        </w:rPr>
        <w:t xml:space="preserve">в имуществе несовершеннолетнего с определением доли _______________________________________________________________________.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(ФИО (последнее - при наличии) лиц(а), которому выделяется доля, размер доли)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права не ущемляются.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20320</wp:posOffset>
                </wp:positionV>
                <wp:extent cx="57785" cy="71755"/>
                <wp:effectExtent l="12700" t="8890" r="5715" b="50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4384;o:allowoverlap:true;o:allowincell:true;mso-position-horizontal-relative:text;margin-left:276.75pt;mso-position-horizontal:absolute;mso-position-vertical-relative:text;margin-top:1.60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344805</wp:posOffset>
                </wp:positionV>
                <wp:extent cx="57785" cy="71755"/>
                <wp:effectExtent l="7620" t="13970" r="10795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65408;o:allowoverlap:true;o:allowincell:true;mso-position-horizontal-relative:text;margin-left:223.85pt;mso-position-horizontal:absolute;mso-position-vertical-relative:text;margin-top:27.15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39370</wp:posOffset>
                </wp:positionV>
                <wp:extent cx="57785" cy="71755"/>
                <wp:effectExtent l="8890" t="12700" r="952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66432;o:allowoverlap:true;o:allowincell:true;mso-position-horizontal-relative:text;margin-left:266.70pt;mso-position-horizontal:absolute;mso-position-vertical-relative:text;margin-top:3.10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240030</wp:posOffset>
                </wp:positionV>
                <wp:extent cx="57785" cy="71755"/>
                <wp:effectExtent l="13335" t="8255" r="5080" b="57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67456;o:allowoverlap:true;o:allowincell:true;mso-position-horizontal-relative:text;margin-left:477.80pt;mso-position-horizontal:absolute;mso-position-vertical-relative:text;margin-top:18.90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портал, Республиканский портал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27305</wp:posOffset>
                </wp:positionV>
                <wp:extent cx="57785" cy="71755"/>
                <wp:effectExtent l="6350" t="13970" r="12065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68480;o:allowoverlap:true;o:allowincell:true;mso-position-horizontal-relative:text;margin-left:90.25pt;mso-position-horizontal:absolute;mso-position-vertical-relative:text;margin-top:2.15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5) через МФЦ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hanging="4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___________________  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(подпись заявителя)   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72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left="2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bookmarkStart w:id="11" w:name="P515"/>
      <w:r>
        <w:rPr>
          <w:b/>
          <w:bCs/>
          <w:sz w:val="24"/>
          <w:szCs w:val="24"/>
        </w:rPr>
      </w:r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Запрос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заявителя указывается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проживающий(ая) по адресу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документа, удостоверяющего личность заявителя, его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серия, номер, дата выдачи,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исправить техническую ошибку 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допущенную по принятию решения по выдаче предварительного разрешения законному представителю на определение (выдел) долей имущества несовершеннолетнего от  _______________№ 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решения          номер решения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Согласен(на) на получение информации об исправлении технической ошибки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(письменно, по телефону, смс-сообщением, электронной почтой)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«__»__________20__ г.   _______________________ 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(подпись заявителя) (расшифровка подписи)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72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79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79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79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/>
        <w:t xml:space="preserve">государственной услуги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выдаче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результатам рассмотрения запроса _______________________________________________________________________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ab/>
        <w:tab/>
        <w:tab/>
        <w:tab/>
        <w:t xml:space="preserve">ФИО заявителя (последнее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от______________№____________________________№______________ и приложенных к нему документов принято решение от_________№_____ отказать в приеме документов, необходимых для предоставления услуги, по следующим основаниям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283" w:right="0" w:firstLine="0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3" w:right="0" w:firstLine="0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3" w:right="0" w:firstLine="0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 xml:space="preserve">по выдаче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Рекомендуемая 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отказе в предоставлении государственной услуги 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запроса____________________________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483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(последнее - при наличии)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заявителя)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от______________№______________ и приложенных к нему документов, принято решение от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_________№_____ 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заявитель не соответствует категории лиц, имеющих право на предоставление услуги, предусмотренным пунктом 1.2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Подпись руководителя (лица, им уполномоченному) __________________________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73"/>
        <w:ind w:left="5103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ind w:left="5103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ind w:left="5103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выдаче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sz w:val="28"/>
          <w:szCs w:val="28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Рекомендуемая форма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государственной услуги «Выдача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предварительного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 на определение (выдел) долей имущества несовершеннолетнего»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от___________20                                                                                         №___________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запроса 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от______________№______________ и приложенных к нему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кументов, на основании Гражданского кодекса Российской Федерации, Семейного кодекса Российской Федерации Федерального закона от 24.04.2008 № 48-ФЗ «Об опеке и попечительстве», принято решение от_________№_____ предоставить государственную услугу по выдаче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Подпись руководителя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(лица, им уполномоченному) 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center" w:pos="5457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обработку (передачу, предоставление, распространение) персональных данных ______________________________________________________________________,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 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 _____________________________.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___________        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(ФИО. (последнее – при наличии)                               (подпись)                            (дата)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ind w:left="4417" w:hanging="17"/>
        <w:jc w:val="both"/>
        <w:spacing w:after="0" w:line="259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(рекомендуемая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форма для совершеннолетних)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</w:p>
    <w:p>
      <w:pPr>
        <w:ind w:left="4417" w:hanging="17"/>
        <w:jc w:val="both"/>
        <w:spacing w:after="0" w:line="259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 на определение (выдел) долей имущества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8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___________________________________________;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(подпись)                           (дата)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18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разрешённых для распространения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 на определение (выдел) долей имущества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разрешённых для распространения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 xml:space="preserve">по выдаче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предварительного разрешения на отказ от преимущественного права покупки от имени несовершеннолетнего(них)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eastAsia="SimSun"/>
          <w:sz w:val="28"/>
          <w:szCs w:val="28"/>
        </w:rPr>
      </w:pPr>
      <w:r>
        <w:rPr>
          <w:sz w:val="24"/>
          <w:szCs w:val="24"/>
          <w:highlight w:val="none"/>
        </w:rPr>
        <w:br w:type="page" w:clear="all"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93"/>
        <w:gridCol w:w="45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определение (выдел) долей имущества несовершеннолетнего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согласие на обработку персональных данных (приложение №7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№8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на движимое имущество;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об установлении отцовства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выданное компетентными органами иностранного государства, и его нотариально удостоверенный перевод на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запрос подается в отношении усыновленного несовершеннолетнего)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смерти родителя несовершеннолетнего, выданное компетентными органами иностранного государства, и его нотариально удостоверенный перевод на русский язык (при наличии указанных обстоятельств);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5" w:firstLine="41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 xml:space="preserve">по выдаче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или сведения утратили силу на момент обращения за услугой.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3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8"/>
          <w:szCs w:val="28"/>
          <w:highlight w:val="none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tt-RU"/>
        </w:rPr>
      </w:r>
    </w:p>
    <w:p>
      <w:pPr>
        <w:pStyle w:val="873"/>
        <w:ind w:left="5103" w:firstLine="561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Справочное приложение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 xml:space="preserve">по выдаче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87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</w:r>
      <w:r>
        <w:rPr>
          <w:rFonts w:ascii="Times New Roman" w:cs="Times New Roman"/>
          <w:sz w:val="24"/>
          <w:szCs w:val="24"/>
        </w:rPr>
      </w:r>
      <w:r>
        <w:rPr>
          <w:rFonts w:asci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\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245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11943608"/>
      <w:docPartObj>
        <w:docPartGallery w:val="Page Numbers (Top of Page)"/>
        <w:docPartUnique w:val="true"/>
      </w:docPartObj>
      <w:rPr/>
    </w:sdtPr>
    <w:sdtContent>
      <w:p>
        <w:pPr>
          <w:pStyle w:val="87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40</w:t>
        </w:r>
        <w:r>
          <w:fldChar w:fldCharType="end"/>
        </w:r>
        <w:r/>
      </w:p>
    </w:sdtContent>
  </w:sdt>
  <w:p>
    <w:pPr>
      <w:pStyle w:val="870"/>
      <w:tabs>
        <w:tab w:val="left" w:pos="820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space"/>
      <w:lvlText w:val="%1)"/>
      <w:lvlJc w:val="left"/>
      <w:pPr>
        <w:tabs>
          <w:tab w:val="left" w:pos="0" w:leader="none"/>
        </w:tabs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space"/>
      <w:lvlText w:val="%1)"/>
      <w:lvlJc w:val="left"/>
      <w:pPr>
        <w:tabs>
          <w:tab w:val="left" w:pos="0" w:leader="none"/>
        </w:tabs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4"/>
      <w:numFmt w:val="decimal"/>
      <w:isLgl w:val="false"/>
      <w:suff w:val="space"/>
      <w:lvlText w:val="%1)"/>
      <w:lvlJc w:val="left"/>
      <w:pPr>
        <w:tabs>
          <w:tab w:val="left" w:pos="0" w:leader="none"/>
        </w:tabs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5"/>
    <w:link w:val="864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3"/>
    <w:next w:val="863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5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5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3"/>
    <w:next w:val="863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3"/>
    <w:next w:val="863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3"/>
    <w:next w:val="86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5"/>
    <w:link w:val="708"/>
    <w:uiPriority w:val="10"/>
    <w:rPr>
      <w:sz w:val="48"/>
      <w:szCs w:val="48"/>
    </w:rPr>
  </w:style>
  <w:style w:type="paragraph" w:styleId="710">
    <w:name w:val="Subtitle"/>
    <w:basedOn w:val="863"/>
    <w:next w:val="86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5"/>
    <w:link w:val="710"/>
    <w:uiPriority w:val="11"/>
    <w:rPr>
      <w:sz w:val="24"/>
      <w:szCs w:val="24"/>
    </w:rPr>
  </w:style>
  <w:style w:type="paragraph" w:styleId="712">
    <w:name w:val="Quote"/>
    <w:basedOn w:val="863"/>
    <w:next w:val="86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3"/>
    <w:next w:val="86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5"/>
    <w:link w:val="870"/>
    <w:uiPriority w:val="99"/>
  </w:style>
  <w:style w:type="character" w:styleId="717">
    <w:name w:val="Footer Char"/>
    <w:basedOn w:val="865"/>
    <w:link w:val="871"/>
    <w:uiPriority w:val="99"/>
  </w:style>
  <w:style w:type="paragraph" w:styleId="71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1"/>
    <w:uiPriority w:val="99"/>
  </w:style>
  <w:style w:type="table" w:styleId="720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5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5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4">
    <w:name w:val="Heading 1"/>
    <w:basedOn w:val="863"/>
    <w:next w:val="863"/>
    <w:link w:val="881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>
    <w:name w:val="Hyperlink"/>
    <w:basedOn w:val="865"/>
    <w:uiPriority w:val="99"/>
    <w:unhideWhenUsed/>
    <w:qFormat/>
    <w:rPr>
      <w:color w:val="0000ff" w:themeColor="hyperlink"/>
      <w:u w:val="single"/>
    </w:rPr>
  </w:style>
  <w:style w:type="paragraph" w:styleId="869">
    <w:name w:val="Balloon Text"/>
    <w:basedOn w:val="863"/>
    <w:link w:val="88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70">
    <w:name w:val="Header"/>
    <w:basedOn w:val="86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1">
    <w:name w:val="Footer"/>
    <w:basedOn w:val="863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2">
    <w:name w:val="Normal (Web)"/>
    <w:basedOn w:val="86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 w:customStyle="1">
    <w:name w:val="ConsPlusNormal"/>
    <w:link w:val="887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paragraph" w:styleId="874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paragraph" w:styleId="875" w:customStyle="1">
    <w:name w:val="ConsPlusTitle"/>
    <w:uiPriority w:val="99"/>
    <w:pPr>
      <w:widowControl w:val="off"/>
    </w:pPr>
    <w:rPr>
      <w:rFonts w:ascii="Calibri" w:hAnsi="Calibri" w:eastAsia="Times New Roman" w:cs="Calibri"/>
      <w:b/>
      <w:sz w:val="22"/>
    </w:rPr>
  </w:style>
  <w:style w:type="paragraph" w:styleId="876" w:customStyle="1">
    <w:name w:val="ConsPlusTitlePage"/>
    <w:qFormat/>
    <w:pPr>
      <w:widowControl w:val="off"/>
    </w:pPr>
    <w:rPr>
      <w:rFonts w:ascii="Tahoma" w:hAnsi="Tahoma" w:eastAsia="Times New Roman" w:cs="Tahoma"/>
    </w:rPr>
  </w:style>
  <w:style w:type="character" w:styleId="877" w:customStyle="1">
    <w:name w:val="Верхний колонтитул Знак"/>
    <w:basedOn w:val="865"/>
    <w:link w:val="870"/>
    <w:uiPriority w:val="99"/>
  </w:style>
  <w:style w:type="character" w:styleId="878" w:customStyle="1">
    <w:name w:val="Нижний колонтитул Знак"/>
    <w:basedOn w:val="865"/>
    <w:link w:val="871"/>
    <w:uiPriority w:val="99"/>
    <w:qFormat/>
  </w:style>
  <w:style w:type="paragraph" w:styleId="879" w:customStyle="1">
    <w:name w:val="Прижатый влево"/>
    <w:basedOn w:val="863"/>
    <w:next w:val="863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880" w:customStyle="1">
    <w:name w:val="Текст выноски Знак"/>
    <w:basedOn w:val="865"/>
    <w:link w:val="869"/>
    <w:uiPriority w:val="99"/>
    <w:semiHidden/>
    <w:rPr>
      <w:rFonts w:ascii="Segoe UI" w:hAnsi="Segoe UI" w:cs="Segoe UI"/>
      <w:sz w:val="18"/>
      <w:szCs w:val="18"/>
    </w:rPr>
  </w:style>
  <w:style w:type="character" w:styleId="881" w:customStyle="1">
    <w:name w:val="Заголовок 1 Знак"/>
    <w:basedOn w:val="865"/>
    <w:link w:val="864"/>
    <w:uiPriority w:val="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82" w:customStyle="1">
    <w:name w:val="Цветовое выделение"/>
    <w:uiPriority w:val="99"/>
    <w:qFormat/>
    <w:rPr>
      <w:b/>
      <w:color w:val="26282f"/>
    </w:rPr>
  </w:style>
  <w:style w:type="character" w:styleId="883" w:customStyle="1">
    <w:name w:val="Гипертекстовая ссылка"/>
    <w:basedOn w:val="882"/>
    <w:uiPriority w:val="99"/>
    <w:qFormat/>
    <w:rPr>
      <w:rFonts w:cs="Times New Roman"/>
      <w:b w:val="0"/>
      <w:color w:val="106bbe"/>
    </w:rPr>
  </w:style>
  <w:style w:type="character" w:styleId="884" w:customStyle="1">
    <w:name w:val="Основной текст_"/>
    <w:basedOn w:val="865"/>
    <w:link w:val="885"/>
    <w:qFormat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styleId="885" w:customStyle="1">
    <w:name w:val="Основной текст3"/>
    <w:basedOn w:val="863"/>
    <w:link w:val="884"/>
    <w:qFormat/>
    <w:pPr>
      <w:spacing w:after="120" w:line="298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5"/>
      <w:szCs w:val="25"/>
    </w:rPr>
  </w:style>
  <w:style w:type="paragraph" w:styleId="886">
    <w:name w:val="List Paragraph"/>
    <w:basedOn w:val="863"/>
    <w:uiPriority w:val="34"/>
    <w:qFormat/>
    <w:pPr>
      <w:contextualSpacing/>
      <w:ind w:left="720"/>
    </w:pPr>
  </w:style>
  <w:style w:type="character" w:styleId="887" w:customStyle="1">
    <w:name w:val="ConsPlusNormal Знак"/>
    <w:link w:val="873"/>
    <w:uiPriority w:val="99"/>
    <w:qFormat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#/document/10164504/entry/0" TargetMode="External"/><Relationship Id="rId13" Type="http://schemas.openxmlformats.org/officeDocument/2006/relationships/hyperlink" Target="https://internet.garant.ru/#/document/71145140/entry/0" TargetMode="External"/><Relationship Id="rId14" Type="http://schemas.openxmlformats.org/officeDocument/2006/relationships/hyperlink" Target="https://internet.garant.ru/#/document/73991658/entry/121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F989DD2-EEFB-4949-AA35-8466FE6EE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5</cp:revision>
  <dcterms:created xsi:type="dcterms:W3CDTF">2022-10-05T15:06:00Z</dcterms:created>
  <dcterms:modified xsi:type="dcterms:W3CDTF">2025-11-09T16:39:39Z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F9BC14ACFA7846448E2EA01847141821</vt:lpwstr>
  </property>
</Properties>
</file>