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646"/>
        <w:ind w:left="0" w:right="5529" w:firstLine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выдаче разрешения законному представителю</w:t>
        <w:br/>
        <w:t xml:space="preserve">на получение денежного вклада несовершеннолетнего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1_646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1_646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646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646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646"/>
        <w:numPr>
          <w:ilvl w:val="0"/>
          <w:numId w:val="2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выдаче разрешения законному представителю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64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64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3. Признать утратившим в силу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18.06.2012 № 3683/12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«Об утверждении типового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выдаче разрешения законному представителю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64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64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646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 И.Г.Хадиуллин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656"/>
        <w:ind w:left="6718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656"/>
        <w:ind w:left="6718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</w:t>
      </w:r>
      <w:r/>
    </w:p>
    <w:p>
      <w:pPr>
        <w:pStyle w:val="656"/>
        <w:ind w:left="6718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</w:t>
      </w:r>
      <w:r/>
    </w:p>
    <w:p>
      <w:pPr>
        <w:pStyle w:val="656"/>
        <w:ind w:left="6718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 </w:t>
      </w:r>
      <w:r/>
    </w:p>
    <w:p>
      <w:pPr>
        <w:pStyle w:val="656"/>
        <w:ind w:left="6718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_________№___________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56"/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Административный регламент</w:t>
        <w:br/>
        <w:t xml:space="preserve"> предоставления государственной услуги по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выдаче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разрешения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законному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представителю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на 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получение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денежного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вклада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несовершеннолетнего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56"/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56"/>
        <w:ind w:left="0" w:right="0" w:firstLine="720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1.1. Настоящий регламент устанавливает стандарт и порядок предоставления государственной услуги по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выдаче разрешения законному представителю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получение денежного вклада несовершеннолетнего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(далее – государственная услуга).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1.2.Заявителями на предоставление государственной услуги являются: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законные представители несовершеннолетних граждан Российской Федерации (далее – заявители).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Требование профилирования: предоставление государственной услуги в соответствии с категориями (признаками) заявителей предусмотрено. Сведения о категориях (признаках) заявителей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Стандарт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Наименование государственной услуги:</w:t>
      </w:r>
      <w:r/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Выдача разрешения законному представителю на получение денежного вклада несовершеннолетнего.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Наименование органа, предоставляющего государственную услугу.</w:t>
      </w:r>
      <w:r>
        <w:rPr>
          <w:rFonts w:ascii="Arial" w:hAnsi="Arial" w:eastAsia="Arial" w:cs="Arial"/>
          <w:sz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заявителя.</w:t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 Результат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 Результатом предоставления государственной услуги является: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 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ыдаче разрешения законному представителю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(приложение №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настоящему Регламенту);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(приложение № 5 к настоящему Регламенту);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 (приложение №4 к настоящему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Регламенту).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/>
    </w:p>
    <w:p>
      <w:pPr>
        <w:ind w:left="0" w:right="0" w:firstLine="708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государственных и муниципальных услуг (функций)» (https://www.gosuslugi.ru/) (далее – Едины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(http://uslugi.tatarstan.ru/) (далее – Республиканский портал).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в письменной форме лично заявителю либо почтовым отправлением.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2.3.3.Результатом предоставления государственной услуги не является реестровая запись.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 Срок предоставления государственной услуги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15-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невный срок, со дня регистрации запроса и документов.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2.4.2. 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на Республиканском портале,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 Республиканского портала.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2.4.3. Государственная услуга в случае, если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срока, предусмотренного Регламентом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2.4.4. Направление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2.4.5.Выдача документа, являющегося результатом государственной услуги, осуществляется в день обращения заявителя.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2.5.1. Государственная услуга предоставляется на безвозмездной основе.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2.6.2. Очередность для отдельных категорий заявителей не установлена.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 Срок регистрации запроса заявителя о предоставлении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2.8.Требования к помещениям, в которых предоставляется государственная услуга.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Требования, которым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такие помещения.</w:t>
      </w:r>
      <w:r/>
    </w:p>
    <w:p>
      <w:pPr>
        <w:ind w:left="0" w:right="0" w:firstLine="709"/>
        <w:jc w:val="both"/>
        <w:spacing w:after="0" w:line="61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2.8.2.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с </w:t>
      </w:r>
      <w:hyperlink r:id="rId9" w:tooltip="https://internet.garant.ru/#/document/10164504/entry/0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оссийской Федерации о социальной защите инвалидов при предоставлении государственной услуги обеспечивается: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беспрепятственного входа в помещения и выхода из них;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допуск сурдопереводчика и тифлосурдопереводчика;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0" w:tooltip="https://internet.garant.ru/#/document/71145140/entry/0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u w:val="singl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/>
    </w:p>
    <w:p>
      <w:pPr>
        <w:ind w:left="0" w:right="0" w:firstLine="709"/>
        <w:jc w:val="both"/>
        <w:spacing w:after="0" w:line="61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1" w:tooltip="https://internet.garant.ru/#/document/73991658/entry/121221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u w:val="singl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 Показатели доступности и качества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2.9.1. Показателями доступности предоставления государственной услуги являются: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«Интернет», на официальном сайте органа опеки и попечительства, на Едином портале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технической возможности) государственных и муниципальных услуг, Республиканском портале;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2.9.2. Показателями качества предоставления государственной услуги являются: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соблюдение сроков приема и рассмотрения документов;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соблюдение срока получения результата государственной услуги;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отсутствие обоснованных жалоб на нарушения Регламента, совершенные работниками органа опеки и попечительства;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количество взаимодействий заявителя с должностными лицами (без учета консультаций):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портале.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сведения о ходе предоставления государственной услуги;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информацию о результате предоставления государственной услуги.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ектронная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 Иные требования к предоставлению государственной услуги, в том числе: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Государственная услуга может быть осуществлена через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При предоставлении государственной услуги используются: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Единая государственная информационная система социального обеспечения;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автоматизированная информационная система «Опека и попечительство».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многофункциональных центрах.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записи на любые свободные для приема дату и время в пределах установленного в МФЦ графика приема.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указанием даты, времени и места приема.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Особенности предоставления государственной услуги в электронной форме.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2.10.6.1. При предоставлении государственной услуги в электронной форме заявитель вправе: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((при наличии технической возможности), Республиканск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портала;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осуществить оценку качества предоставления государственной услуги;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лицами, государственными и муниципальными служащими.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2.10.6.3. При формировании запроса обеспечивается: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печати на бумажном носителе копии электронной формы заявления;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йся сведений, отсутствующих в ЕСИА;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возможность вернуться на любой из этапов заполнения электронной формы заявления без потери ранее введенной информации;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2.10.8. Перечень информационных систем, используемых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электронного взаимодействия» (далее-СМЭВ).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2.10.10.возможность (невозможность)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нкциональный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щих государственные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 Исчерпывающий перечень документов, необходимых для предоставления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2.11.1.Для получения государственной услуги заявитель предоставляет следующие документы: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запрос: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форме документа на бумажном носителе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№1 к настоящему Регламенту);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6 апреля 2011 года № 63-ФЗ «Об электронной подписи» (далее – Федеральный закон № 63-ФЗ),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при обращении посредством Единого портала (при наличии технической возможности), Республиканского портала.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/>
    </w:p>
    <w:p>
      <w:pPr>
        <w:ind w:left="0" w:right="0" w:firstLine="567"/>
        <w:jc w:val="both"/>
        <w:spacing w:after="0" w:line="61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копия свидетельства о рождении либо паспорта несовершеннолетнего;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after="0" w:line="61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копия постановления об опеке (для опекунов (попечителей), приемных родителей);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after="0" w:line="61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копия документа, подтверждающего наличие денежного вклада у несовершеннолетнего (сберкнижка, свидетельство о праве на наследство и т.д.);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after="0" w:line="61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запрос несовершеннолетнего старше 14-ти лет на снятие денежного вклада;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after="0" w:line="61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6) документы о целесообразности снятия денежных средств в интересах ребенка (справка учебного учреждения о коммерческой форме обучения, справка из лечебного учреждения о необходимости платного лечения и т.п.).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Требование предоставления других документов, сведений в качестве основания для предоставления государственной услуги не допускается.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имеет право по своему усмотрению представлять другие документы, сведения.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документов, предусмотренных пунктом 2.5.1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нием государственных и муниципальных услуг».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онные образы документов,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 нотариусами;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лично (лицом, действующим от имени заявителя, на основании доверенности);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почтовым отправлением с уведомлением о вручении;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 адресу электронной почты органа опеки и попечительства.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/>
    </w:p>
    <w:p>
      <w:pPr>
        <w:ind w:left="0" w:right="0"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2.11.3. Документы, сведения, которые подлежат представлению в рамках межведомственного информационного взаимодействия из уполномоченных органов.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Документы и сведения, подлежащие представлению в рамках межведомственного информационного взаимодействия, отсутствуют.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енной услуги или для отказа в предоставлении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2.11.1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установление факта расходования денежных средств не в интересах несовершеннолетнего.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2.12.2.Решение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 4 к настоящему Регламенту, подписывается уполномоченным должностным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лицом органа опеки и попечительства и направляется заявителю указанным в заявление способом.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роках и порядке предоставления государственной услуги, опубликованной на Республиканском портале, в государственной информационной системе «Реестр государственных и муниципальных услуг Республики Татарстан».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2.12.4. Основания для приостановления государственной услуги отсутствуют.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2.12.5. Основания для отказа в предоставлении государственной услуги: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349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 Перечень осуществляемых при предоставлении государственной услуги административных процедур: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прием и регистрация запроса и документов, необходимых для предоставления государственной услуги;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выдача Заявителю результата предоставления государственной услуги;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исправление технической ошибки.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Отдела, МФЦ 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11 к настоящему Регламенту, определяет категорию заявителя и необх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одимый для предоставления государственной услуги перечень документов и (или) информации.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№11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услуги(далее – консультирование заявителя).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3.1.3. Исправление допущенных ошибок (описки, опечатки, грамматической ошибки) в выданной документации.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 (далее – консультирование заявителя).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3.2.1.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 (работником), ответственным за выполнение административной процедуры, является: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МФЦ – работник МФЦ;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орган опеки и попечительства – уполномоченное должностное лицо органа опеки и попечительства.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заявителя выполняются в день обращения заявителя.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Республиканском портале, сайте органа опеки и попечительства о порядке и сроках предоставления государственной услуги, в том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 Предоставление государственной услуги по выдаче разрешения законному представителю на получение денежного вклада несовершеннолетнего.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 Принятие и рассмотрение заявления и комплекта документов, представленных заявителем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3.3.1.1. Заявитель может подать заявление лично, через доверенное лицо, по почте, электронной почте, в орган опеки и попечительства, через Республиканский портал,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3.3.1.2. Прием документов для предоставления государственной услуги через МФЦ или удаленное рабочее место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обращения заявителя (представителя заявителя) с запросом.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Результат: готовое к отправке запрос и документы.</w:t>
      </w:r>
      <w:r/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Работник МФЦ, ведущий прием запроса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удостоверяет личность заявителя;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определяет предмет обращения;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проводит проверку полномочий лица, подающего документы;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проводит проверку соответствия документов требованиям, указанным в настоящем Регламенте;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заполняет электронную форму запроса в АИС МФЦ;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 предоставлении документов, указанных в настоящем Регламента на бумажном носителе, осуществляет сканирование представленных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распечатывает заявление из АИС МФЦ;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передает заявителю на проверку и подписание;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после подписания сканирует подписанный запрос в АИС МФЦ;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возвращает подписанное заявление и оригиналы бумажных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выдает заявителю расписку в приеме документов.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Работник МФЦ направляет пакет документов, принятых от заявителя в Министерство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3.3.1.3. Прием документов для предоставления государственной услуги в электронной форме через Республиканский портал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Единый портал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(при 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Заявитель для подачи запроса в электронной форме выполняет следующие действия: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выполняет авторизацию на Республиканском портале и Едином портале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(при 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открывает форму электронного запроса на Республиканском портале и Едином портале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(при 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аличии технической возможности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заполняет согласие на обработку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отправляет заполненный электронный запрос (нажимает соответствующую кнопку в форме электронного запроса);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получает уведомление об отправке электронного запроса.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3.3.1.4. Рассмотрение комплекта документов органом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прием документов, в случае обращения заявителя с запросом в орган опеки и попечительства:</w:t>
      </w:r>
      <w:r/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определяет предмет обращения;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устанавливает личность заявителя;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hyperlink r:id="rId12" w:tooltip="https://internet.garant.ru/document/redirect/8224902/213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highlight w:val="none"/>
            <w:u w:val="single"/>
          </w:rPr>
          <w:t xml:space="preserve">Республиканского портала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Единого портала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(при 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проводит проверку полномочий лица, подающего документы;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проверяет комплектность, читаемость электронных образов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проверяет соблюдение условий действительности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hyperlink r:id="rId13" w:tooltip="https://internet.garant.ru/document/redirect/12184522/21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highlight w:val="none"/>
            <w:u w:val="single"/>
          </w:rPr>
          <w:t xml:space="preserve">электронной подписи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посредством обращения к </w:t>
      </w:r>
      <w:hyperlink r:id="rId14" w:tooltip="https://internet.garant.ru/document/redirect/8224902/213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highlight w:val="none"/>
            <w:u w:val="single"/>
          </w:rPr>
          <w:t xml:space="preserve">Республиканскому порталу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</w:t>
      </w:r>
      <w:hyperlink r:id="rId15" w:tooltip="https://internet.garant.ru/document/redirect/8224902/214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highlight w:val="none"/>
            <w:u w:val="single"/>
          </w:rPr>
          <w:t xml:space="preserve">Единому порталу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(при 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аличии технической возможности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(в случае, если заявителем представлены электронные образы документов, подписанные усиленной квалифицированной электронной подписью).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проводит проверку соответствия документов требованиям, указанным в пункте 2.11.1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еркнутых слов и иных не оговоренных исправлений);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предоставлении документов, указанных в пункте 2.11.1 Регламента на бумажном носителе, осуществляет сканирование представленных документов;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распечатывает запрос;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передает заявителю на проверку и подписание;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подписания сканирует подписанное запрос;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возвращает подписанный запрос и оригиналы бумажных документов заявителю.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направляется на согласование в установленном порядке посредством системы электронного документооборота.</w:t>
      </w:r>
      <w:r/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запроса, содержащее входящий регистрационный номер запроса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процедур, указанных в настоящем подпункте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поступления запроса на рассмотрение.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принятый на рассмотрение запрос и комплект документов или проект решения об отказе в приеме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 Формирование и направление межведомственных запросов в органы (организации), участвующие в предоставлении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3.3.2.1.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сы о предоставлении документов и сведений, предусмотренных пунктом 2.11.1 настоящего Регламента.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выполняются в день принятия заявления и комплекта документов на рассмотрение.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направленные в уполномоченные органы запросы.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3.3.2.2. Межведомственное информационное взаимодействие может осуществляться на бумажном носителе: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Если межведомственное взаимодействие осуществляется на бумажном носителе, документы (их копии или сведения, содержащиеся в них), предус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мотренные подпунктом 2.11.1 Регламента, предоставляются органами, в распоряжении которых находятся эти документы.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подготовки и направления ответа на межведомственные запросы в соответствии с частью 3 статьи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твенной регистрации прав на объекты недвижимости) со дня поступления межведомственного запроса. 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равленные должностному лицу, ответственному за направление межведомственных запросов.</w:t>
      </w:r>
      <w:r/>
    </w:p>
    <w:p>
      <w:pPr>
        <w:ind w:left="0" w:right="0"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3.3.2.3. Исполнение процедур, указанных в подпункте 3.3.2.1,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униципальных услуг, в том числе с момента регистрации заявления.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 Подготовка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3.3.3.1. Должностное лицо, ответственное за исполнение процедуры на основании поступивших документов и (или) информации, необходимых для предоставления государственной услуги: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2.12.5 настоящего Регламента;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подготавливает проект решения о выдаче разрешения или проект решения об отказе в выдаче разрешения с указанием причин отказа;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направляет проект решения о выдаче разрешения с приложением оформленного разрешения или проект решения об отказе в выдаче разрешения и проект письма об отказе в выдаче разрешения на подпись руководителю орган опеки и попечительства (лицу, им уполномоченном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осуществляются в течение восьми календарных дней с момента окончания предыдущей процедуры.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процедуры: проект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3.3.3.2. Согласование результата предоставления государственной услуги осуществляется руководителем органа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Подготовленные проекты результатов предоставления государственной услуги имеющие замечания, возвращаются на доработку лицу, ответственному за подготовку результата предоставления государственной услуги. После устранения замечаний проекты документов результ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атов предоставления государственной услуги повторно передаются на согласование.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согласование руководителем органа опеки и попечительства проектов результатов предоставления государственной услуги или возвращение руководителем органа опеки и попечительства проектов результатов предоставления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осударственной услуги на доработку лицу, ответственному за подготовку результата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3.3.3.3. Согласованные проекты результатов предоставления государственной услуги направляются лицом, ответственным за подготовку результата предоставления государственной услуги на подписание проектов документов руководителю (лицу, исполняющим обязанности)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подписанное руководителем (лицом, исполняющим обязанности) Исполнительного комитета муниципального района (городского округа) Республики Татарстан решение о выдаче разрешения или решение об отказе в выдаче разреше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3.3.3.4. Исполнение процедур, указанных в пунктах 3.3.3.1, 3.3.3.2,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дарственных и муниципальных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 Выдача (направление) заявителю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3.3.4.1. Регистрация решения по государственной услуге и извещение заявителя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процедуры является получение должностным лицом, ответственным за выполнение процедуры, документа, подтверждающего предоставление (отказ в предоставлении)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лицом, ответственным за выполнение административной процедуры, является сотрудник (далее - должностное лицо, ответственное за выдачу (направление) документов).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выдачу (направление) документов: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извещает заявителя (его представителя) через Республиканский портал о результате предоставления государственной услуги и о возможности получения результата предоставления государственной услуги в МФЦ, в органе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3.3.4.2.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информации или направлении экземпляра электронного документа, на основе которого составлен экземпляр электронного документа на бумажном носителе, по электронной почте идентичность такого экземпляра электронного документа экземпляру электронного документ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на бумажном носителе заверяется уполномоченным сотрудником с использованием усиленной квалифицированной электронной подписи.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фиксация факта выдачи результата предоставления государственной услуги в государственной информационной системе Республики Татарстан «Автоматизированная информационная система многофункциональных центров предостав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ления государственных и муниципальных услуг», результат предоставления государственной услуги, выданный (направленный) заявителю.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3.3.4.3.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усиленной квалифицированной электронной подписью руководителем (лицом, 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3.3.4.4. При обращении заявителя за результатом государственной услуги в орган опеки и попечительства, должностное лицо, ответственное за выдачу (направление) документов, выдает (направляет) заявителю результат государственной услуги. По требованию заявите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государственной услуги вручается заявителю в день прибытия заявителя в соответствии с Правилами внутреннего трудового распорядка органа опеки и попечительства. Результат государственной услуги направляется заявителю в день подписания результата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Результатом выполнения административных процедур являются: фиксация факта выдачи (направления) результата предоставления государственной услуги в автоматизированной информационной системе, предназначенной для оказания государственных и муниципальных услуг,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выдача результата предоставления государственной услуги (в том числе отказ в предоставлении государственной услуги).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 Исправление допущенных ошибок (описки, опечатки, грамматической ошибки) в выданной документации (далее - исправление технической ошибки).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об исправлении технической ошибки (приложение № 2 настоящего Регламента);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документы, имеющие юридическую силу, свидетельствующие о наличии технической ошибки.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Республиканский портал или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течение двух рабочих дней с даты регистрации заявления.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пунктами 3.3.3.2. и 3.3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.3.3.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почтовым отправлением (посредством электронной почты) письмо о возможности получения документа при предоставлении в орган опеки и попечительства оригинала документа, в котором содержится техническая ошибка.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4.Cпособы информирования заявителя об изменении статуса рассмотрения запроса о предоставлении государственной услуги.</w:t>
      </w:r>
      <w:r/>
    </w:p>
    <w:p>
      <w:pPr>
        <w:ind w:left="0" w:right="0" w:firstLine="709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направление уведомлений на адрес электронной почты заявителя, указанный при подаче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исправлении технических ошибок по заявлению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4.3. Содержание уведомления, направляемого заявителю, включает: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уникальный идентификационный номер запроса (регистрационный номер);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актуальный статус рассмотрения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дату изменения статуса;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краткое описание предпринятых действий или необходимой обратной связи (при необходимости);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способ и место получения результата услуги (при наступлении соответствующего этапа).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4.4. Периодичность информирования заявителя: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каждом изменении статуса запроса;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лично в орган, предоставляющий государственную услугу, или в МФЦ;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личный кабинет на Едином портале (при наличии технической возможности);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обращения по телефону, электронной почте, другим официально опубликованным каналам связи органа, предоставляющего услугу;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письменного обращения.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2124" w:right="0" w:firstLine="708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1</w:t>
      </w:r>
      <w:r/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 запроса, 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подаваемого законным представителем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выдаче разрешения</w:t>
        <w:br/>
        <w:t xml:space="preserve"> на получение денежного вклада несовершеннолетнего</w:t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-20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Я,__________________________________________________________________,</w:t>
      </w:r>
      <w:r/>
    </w:p>
    <w:p>
      <w:pPr>
        <w:ind w:left="0" w:right="-204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(Ф.И.О. – последнее при наличии)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выдать разрешение на получение денежного вклада моего сына (дочери), подопечного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(Ф.И.О. несовершеннолетнего (- ей) полностью)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года рождения, с принадлежащего ему счета в банке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связи с необходимостью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____________________________________________________________________________________________,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(объяснить причину снятия денежных средств ребенка)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0"/>
        </w:rPr>
        <w:t xml:space="preserve">Обязуюсь в срок до ____________ представить в орган опеки документы, подтверждающие расходование средств в интересах моего ребенка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(подопечного).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запросу прилагаю следующие документы: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_____________________________________________________________________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_____________________________________________________________________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_____________________________________________________________________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_____________________________________________________________________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результат предоставления государственной услуги следующим способом: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 номеру телефона____________________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почте_________________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через МФЦ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 ____________________</w:t>
      </w:r>
      <w:r/>
    </w:p>
    <w:p>
      <w:pPr>
        <w:ind w:left="3838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56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№2</w:t>
      </w:r>
      <w:r/>
    </w:p>
    <w:p>
      <w:pPr>
        <w:ind w:left="5522" w:right="0" w:firstLine="0"/>
        <w:jc w:val="both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>
        <w:rPr>
          <w:sz w:val="24"/>
          <w:szCs w:val="24"/>
        </w:rPr>
      </w:r>
      <w:r>
        <w:rPr>
          <w:szCs w:val="24"/>
        </w:rPr>
      </w:r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Запрос 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 исправлении технической ошибки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Прошу исправить техническую ошибку_____________________________________, допущенную в решении о предоставлении государственной услуги по назначению и выплате единовременного пособия при передаче ребенка на воспитание в семью от ____________ № ____________.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ind w:left="455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дата решения номер решения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Согласен(на) на получение информации об исправлении технической ошибки ____________________________________________________________________________________.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(письменно, по телефону, смс-сообщением, электронной почтой)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«___» _____________ 20___ г. 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 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(подпись заявителя) (расшифровка подписи)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6066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№3</w:t>
      </w:r>
      <w:r/>
    </w:p>
    <w:p>
      <w:pPr>
        <w:ind w:left="6066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Решение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 предоставлении государственной услуги по выдаче разрешения</w:t>
        <w:br/>
        <w:t xml:space="preserve"> на получение денежного вклада несовершеннолетнего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 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 </w:t>
      </w:r>
      <w:r/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«__» _________ 20__ г. №___________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______________ № ______________ и приложенных к нему документов, на основании Гражданского кодекса Российской Федерации, Семейного кодекса Российской Федерации,Семейного кодекса Республики Татарстан принято решение от _________ № _________ предоставить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государственную услугу по выдаче разрешения на получение денежного вклада несовершеннолетнего: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(Ф.И.О, дата рождения)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размере _____________ рублей.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 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(дата решения) 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№4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/>
    </w:p>
    <w:p>
      <w:pPr>
        <w:ind w:left="5811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«__» _________ 20__г. №___________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______________ 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 _______________ №___________ отказа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ть в приеме документов, необходимых для предоставления услуги, по следующим основаниям: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2.11.1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запроса о предоставлении услуги на Республиканском портале (недостоверное, неправильное либо неполное заполнение);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установление факта расходования денежных средств не в интересах несовершеннолетнего.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/>
    </w:p>
    <w:p>
      <w:pPr>
        <w:ind w:left="238" w:right="0" w:firstLine="48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238" w:right="0" w:firstLine="48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 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 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ФИО (последнее – при наличии) сотрудника органа, уполномоченного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№5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Решение об отказе в предоставлении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425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Кому_________________________</w:t>
      </w:r>
      <w:r/>
    </w:p>
    <w:p>
      <w:pPr>
        <w:ind w:left="527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«__» _________ 20__г. №___________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 №______________ и приложенных к нему документов, на основании Гражданского кодекса Российской Федерации, Семейного кодекса Российской Федерации,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hyperlink r:id="rId16" w:tooltip="https://internet.garant.ru/document/redirect/10101162/0" w:history="1">
        <w:r>
          <w:rPr>
            <w:rStyle w:val="81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Федерального закона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от 19.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05.1995 № 81-ФЗ «О государственных пособиях гражданам, имеющим д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етей»,</w:t>
      </w:r>
      <w:hyperlink r:id="rId17" w:tooltip="https://internet.garant.ru/document/redirect/400114744/0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Минтруда России от 29.09.2020 № 668н «Об утверждении Порядка и условий назначения и выплаты государственных пособий гражданам, имеющим детей», Семейного кодекса Республики Татарстан, принято решение отказать в предоставлении государственной услуги, по след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ующему основанию: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(дата решения)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должность сотрудника органа, уполномоченного на принятие решения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ФИО (последнее – при наличии) сотрудника органа,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уполномоченного на принятие решения 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4819" w:right="0" w:hanging="1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личных персональных данных, с целью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 несовершеннолетнего в целях содержания или обеспечения несовершеннолетнего жилым помещением и передачу приобретаемого помещения в залог (ипотеку)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1) персональные данные: ___________________________________________;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2) специальные категории персональных данных: 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3) биометрические персональные данные: отсутствуют 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0" w:right="0" w:firstLine="720"/>
        <w:spacing w:after="0" w:line="57" w:lineRule="atLeast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данных))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</w:p>
    <w:p>
      <w:pPr>
        <w:shd w:val="nil" w:color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br w:type="page" w:clear="all"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№7</w:t>
      </w:r>
      <w:r>
        <w:rPr>
          <w:rFonts w:ascii="Arial" w:hAnsi="Arial" w:eastAsia="Arial" w:cs="Arial"/>
          <w:sz w:val="28"/>
          <w:szCs w:val="28"/>
        </w:rPr>
      </w:r>
      <w:r>
        <w:rPr>
          <w:sz w:val="28"/>
          <w:szCs w:val="28"/>
        </w:rPr>
      </w:r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/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3539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личных данных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___________________________________________________________________,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целью предоставления государственной услуги по выдаче разрешения</w:t>
        <w:br/>
        <w:t xml:space="preserve"> на получение денежного вклада несовершеннолетнего.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1) персональные данные: ___________________________________________;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2) специальные категории персональных данных: 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3) биометрические персональные данные: отсутствуют 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представителя)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№8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480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даю свое согласие 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(указать наименование Организации)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на обработку (передачу,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заключение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данных):_______________________________________________________________________________________ 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((подпись) субъекта персональных данных) (дата) 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№9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360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зак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 данных):_________________________________________________________________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 ____________ 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 </w:t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</w:p>
    <w:p>
      <w:pPr>
        <w:shd w:val="nil" w:color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br w:type="page" w:clear="all"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№10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</w:rPr>
        <w:t xml:space="preserve">Запрос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</w:rPr>
        <w:t xml:space="preserve">на снятие денежного вклада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3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Я, _____________________________________________________________________,</w:t>
      </w:r>
      <w:r/>
    </w:p>
    <w:p>
      <w:pPr>
        <w:ind w:left="0" w:right="0" w:firstLine="73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(Ф.И.О. несовершеннолетнего (ой))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согласен(а) снять денежные средства в сумме 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(сумма цифрами)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________________________________________________________________________ рублей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(сумма прописью)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с моего расчетного счета № ___________________________________________, открытого в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________________________________________________________________.</w:t>
      </w:r>
      <w:r/>
    </w:p>
    <w:p>
      <w:pPr>
        <w:ind w:left="0" w:right="0" w:firstLine="73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Денежные средства необходимы для ___________________________________ ______________________________________________________________________________.</w:t>
      </w:r>
      <w:r/>
    </w:p>
    <w:p>
      <w:pPr>
        <w:ind w:left="0" w:right="0" w:firstLine="73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3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«___» _____________ 20___ г. 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 ____________________</w:t>
      </w:r>
      <w:r/>
    </w:p>
    <w:p>
      <w:pPr>
        <w:ind w:left="0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813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№11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Идентификаторы категорий (признаков) заявителей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3"/>
        <w:gridCol w:w="4960"/>
        <w:gridCol w:w="408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Выдача разрешения на заключение трудового договора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462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2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Исчерпывающий перечень документов, 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необходимых для предоставления государственной услуги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3"/>
        <w:gridCol w:w="1992"/>
        <w:gridCol w:w="2694"/>
        <w:gridCol w:w="395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 о выдаче разрешения на получение денежного вклада несовершеннолетнего по форме согласно приложению №1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постановления об опеке (для опекунов (попечителей), приемных родителей).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паспорта заявителя или представителя заявителя (предоставляется в случае личного обращения).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 рождении либо паспорта несовершеннолетнего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документа, подтверждающего наличие денежного вклада у несовершеннолетнего (сберкнижка, свидетельство о праве на наследство и т.д.)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 на снятие денежного вклада от несовершеннолетнего старше 14-ти лет.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документы о целесообразности снятия денежных средств в интересах ребенка (справка учебного учреждения о коммерческой форме обучения, справка из лечебного учреждения о необходимости платного лечения и т.п.)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согласие на обработку персональных данных;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согласие на обработку персональных данных, разрешённых для распространения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244" w:right="0" w:firstLine="27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№12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/>
    </w:p>
    <w:p>
      <w:pPr>
        <w:ind w:left="0" w:right="0"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9"/>
        <w:gridCol w:w="2068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представление документов, несоответствующих по форме или содержанию требованиям законодательства;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или сведения утратили силу на момент обращения за государственной услугой.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953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№13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953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предоставлении государственной услуги</w:t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9"/>
        <w:gridCol w:w="2067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заявитель не соответствует категории лиц, имеющих право на предоставление услуги, предусмотренным пунктом 1.2 настоящего Регламента;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обнаружение недостоверных сведений, содержащихся в представленных документах;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</w:rPr>
        <w:br w:type="page" w:clear="all"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567"/>
        <w:jc w:val="center"/>
        <w:spacing w:after="0" w:line="65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3540" w:right="0" w:firstLine="708"/>
        <w:jc w:val="center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Приложение (справочное)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664" w:right="0" w:firstLine="0"/>
        <w:jc w:val="left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6282f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</w:t>
        <w:br/>
        <w:t xml:space="preserve"> на получение денежного вклада несовершеннолетнего</w:t>
      </w:r>
      <w:r>
        <w:rPr>
          <w:rFonts w:ascii="Times New Roman" w:hAnsi="Times New Roman" w:eastAsia="Times New Roman" w:cs="Times New Roman"/>
          <w:color w:val="26282f"/>
          <w:sz w:val="28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0"/>
        <w:jc w:val="center"/>
        <w:spacing w:before="108" w:after="10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 опеки и попечительства исполнительного комитета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района (городского округа)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3057"/>
        <w:gridCol w:w="381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органа опеки и попечительства,</w:t>
            </w:r>
            <w:r/>
          </w:p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специалист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органа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Руководитель исполнительного комитета (городского округа) Республики Татарстан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3"/>
        <w:gridCol w:w="2583"/>
        <w:gridCol w:w="42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исполнительного комитета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0"/>
        <w:jc w:val="both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center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муниципального района (городского округа)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2585"/>
        <w:gridCol w:w="42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Глава муниципального района (городского округа)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both"/>
        <w:spacing w:after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1_646" w:customStyle="1">
    <w:name w:val="ConsPlusNormal"/>
    <w:next w:val="948"/>
    <w:link w:val="92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0164504/entry/0" TargetMode="External"/><Relationship Id="rId10" Type="http://schemas.openxmlformats.org/officeDocument/2006/relationships/hyperlink" Target="https://internet.garant.ru/#/document/71145140/entry/0" TargetMode="External"/><Relationship Id="rId11" Type="http://schemas.openxmlformats.org/officeDocument/2006/relationships/hyperlink" Target="https://internet.garant.ru/#/document/73991658/entry/121221" TargetMode="External"/><Relationship Id="rId12" Type="http://schemas.openxmlformats.org/officeDocument/2006/relationships/hyperlink" Target="https://internet.garant.ru/document/redirect/8224902/213" TargetMode="External"/><Relationship Id="rId13" Type="http://schemas.openxmlformats.org/officeDocument/2006/relationships/hyperlink" Target="https://internet.garant.ru/document/redirect/12184522/21" TargetMode="External"/><Relationship Id="rId14" Type="http://schemas.openxmlformats.org/officeDocument/2006/relationships/hyperlink" Target="https://internet.garant.ru/document/redirect/8224902/213" TargetMode="External"/><Relationship Id="rId15" Type="http://schemas.openxmlformats.org/officeDocument/2006/relationships/hyperlink" Target="https://internet.garant.ru/document/redirect/8224902/214" TargetMode="External"/><Relationship Id="rId16" Type="http://schemas.openxmlformats.org/officeDocument/2006/relationships/hyperlink" Target="https://internet.garant.ru/document/redirect/10101162/0" TargetMode="External"/><Relationship Id="rId17" Type="http://schemas.openxmlformats.org/officeDocument/2006/relationships/hyperlink" Target="https://internet.garant.ru/document/redirect/400114744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2025-11-09T17:13:05Z</dcterms:modified>
</cp:coreProperties>
</file>