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76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шеннолетнего жилым помещением и передачу приобретаемого помещения в залог (ипотеку)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_676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6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6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6"/>
        <w:numPr>
          <w:ilvl w:val="0"/>
          <w:numId w:val="6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7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7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08.06.2023 № под-1141/23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76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76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664"/>
        <w:ind w:left="6718" w:righ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664"/>
        <w:ind w:left="6718" w:righ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/>
    </w:p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</w:t>
      </w:r>
      <w:r/>
    </w:p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 </w:t>
      </w:r>
      <w:r/>
    </w:p>
    <w:p>
      <w:pPr>
        <w:pStyle w:val="664"/>
        <w:ind w:left="6718" w:right="0" w:firstLine="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_________№___________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64"/>
        <w:ind w:left="0" w:right="0" w:firstLine="0"/>
        <w:jc w:val="center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Административный регламент</w:t>
        <w:br/>
        <w:t xml:space="preserve">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шеннолетнего жилым помещением и передачу приобретаемого помещения в залог (ипотеку)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64"/>
        <w:ind w:left="0" w:right="0" w:firstLine="0"/>
        <w:jc w:val="center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pStyle w:val="664"/>
        <w:ind w:left="0" w:right="0" w:firstLine="720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Настоящий регламент устанавливает стандарт и порядок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ржания или обеспечения несовершеннолетнего жилым помещением и передачу приобретаемого помещения в залог (ипотеку)(далее – государственная услуга).</w:t>
      </w:r>
      <w:r/>
    </w:p>
    <w:p>
      <w:pPr>
        <w:ind w:left="0" w:right="0" w:firstLine="720"/>
        <w:jc w:val="both"/>
        <w:spacing w:before="0" w:beforeAutospacing="0" w:after="0" w:afterAutospacing="0"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1.2.Заявителями на предоставление государственной услуги являются: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несовершеннолетние граждане Российской Федерации, достигшие четырнадцатилетнего возраста, действующие с согласия законных представителе;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законные представители несовершеннолетних граждан, не достигших возраста четырнадцати лет (далее - заявители).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профилирования: предоставление государственной услуги в соответствии с категориями (признаками) заявителей предусмотрено. Сведения о категориях (признаках) заявителей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Стандарт предоставления государственной услуги</w:t>
      </w:r>
      <w:r/>
    </w:p>
    <w:p>
      <w:pPr>
        <w:ind w:left="0" w:right="0" w:firstLine="72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Наименование государственной услуги: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алог (ипотеку).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попечительства)по месту жительства заявителя.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Результатом предоставления государственной услуги является: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отеку) (приложение № 4 к настоящему Регламенту) (далее - предварительное разрешение);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(приложение № 6 к настоящему Регламенту)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 (приложение №7 к настоящему Регламенту)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</w:p>
    <w:p>
      <w:pPr>
        <w:ind w:left="0" w:right="0" w:firstLine="0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(функций)» (https://www.gosuslugi.ru/) (далее – Едины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в письменной форме лично заявителю либо почтовым отправлением.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2.3.3.Результатом предоставления государственной услуги не является реестровая запись.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2.4.2. 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на Республиканском портале,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Республиканского портала.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2.4.3. Государственная услуга в случае, если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срока, предусмотренного Регламентом МФЦ.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2.4.4. Направление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2.5.1. Государственная услуга предоставляется на безвозмездной основе.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2.6.2. Очередность для отдельных категорий заявителей не установлена.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2.8.Требования к помещениям, в которых предоставляется государственная услуга.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Требования, которым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такие помещения.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2.8.2. В соответствии с </w:t>
      </w:r>
      <w:hyperlink r:id="rId9" w:tooltip="https://internet.garant.ru/#/document/10164504/entry/0" w:history="1">
        <w:r>
          <w:rPr>
            <w:rStyle w:val="822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беспрепятственного входа в помещения и выхода из них;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допуск сурдопереводчика и тифлосурдопереводчика;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history="1">
        <w:r>
          <w:rPr>
            <w:rStyle w:val="822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1" w:tooltip="https://internet.garant.ru/#/document/73991658/entry/121221" w:history="1">
        <w:r>
          <w:rPr>
            <w:rStyle w:val="822"/>
            <w:rFonts w:ascii="Times New Roman" w:hAnsi="Times New Roman" w:eastAsia="Times New Roman" w:cs="Times New Roman"/>
            <w:color w:val="000000"/>
            <w:sz w:val="28"/>
            <w:u w:val="singl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 Показатели доступности и качества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2.9.1. Показателями доступности предоставления государственной услуги являются: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возможности), Республиканском портале;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2.9.2. Показателями качества предоставления государственной услуги являются: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соблюдение сроков приема и рассмотрения документов;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соблюдение срока получения результата государственной услуги;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отсутствие обоснованных жалоб на нарушения Регламента, совершенные работниками органа опеки и попечительства;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количество взаимодействий заявителя с должностными лицами (без учета консультаций):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портале.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сведения о ходе предоставления государственной услуги;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информацию о результате предоставления государственной услуги.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ектронная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Государственная услуга может быть осуществлена через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При предоставлении государственной услуги используются: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автоматизированная информационная система «Опека и попечительство».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многофункциональных центрах.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записи на любые свободные для приема дату и время в пределах установленного в МФЦ графика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Особенности предоставления государственной услуги в электронной форме.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2.10.6.1. При предоставлении государственной услуги в электронной форме заявитель вправе: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возможности), Республиканск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портала;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лицами, государственными и муниципальными служащими.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2.10.6.3. При формировании запроса обеспечивается: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заявления;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йся сведений, отсутствующих в ЕСИА;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2.10.8. Перечень информационных систем, используемых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электронного взаимодействия» (далее-СМЭВ).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2.10.10.возможность (невозможность)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щих государственные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 Исчерпывающий перечень документов, необходимых для предоставления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2.11.1.Для получения государственной услуги заявитель предоставляет следующие документы: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запрос: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форме документа на бумажном носителе (приложение №№1-3 к настоящему Регламенту);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6 апреля 2011 года № 63-ФЗ «Об электронной подписи» (далее – Федеральный закон № 63-ФЗ),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 обращении посредством Единого портала (при наличии технической возможности), Республиканского портала.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копия паспорта заявителя (предоставляется в случае личного обращения заявителя).При обращении посредством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рме» (далее – ЕСИА);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копия свидетельства о рождении, выданного компетентными органами иностранного государства, его нотариально удостоверенный перевод на русский язык;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справка кредитной организации о предварительном одобрении кредита (займа), содержащая информацию о включении в состав собственников несовершеннолетнего гражданина, сумме и сроках кредитования;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договор купли-продажи (проект) либо протокол участия, выбора и передачи жилого помещения в собственность;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договор целевого денежного займа.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согласие на обработку персональных данных (приложение № 7 к настоящему Регламенту), согласие на обработку персональных данных, разрешённых для распространения (приложение № 8 к настоящему Регламенту) (представляются лицом, не являющимся заявителем, в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законом от 27 июля 2006 года № 152-ФЗ «О персональных данных» обработка таких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заявителя лишен или ограничен в родительских правах, либо признан недееспособным или безвестно отсутствующим, либо умер или считается умершим, иной родитель заявителя представляет документ, удостоверяющий личность (при личн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 обращении в орган опеки и попечительства) и заявление (согласие) по форме приложения №1 к настоящему Регламенту единолично. В случаях, когда один из родителей несовершеннолетнего признан безвестно отсутствующим, заявитель дополнительно представляет реше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 суда о признании безвестно отсутствующим указанного родителя.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государственных и муниципальных услуг».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онные образы документов,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 нотариусами;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лично (лицом, действующим от имени заявителя, на основании доверенности);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почтовым отправлением с уведомлением о вручении;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 адресу электронной почты органа опеки и попечительства. 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опеки над ребенком (решение органа опеки и попечительства) –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ведения о регистрационном учете по месту жительства и месту пребывания в том числе справка о том, что место нахождения разыскиваемого родителя не установлено – Министерство внутренних дел Российской Федерации, электронный сервис «Сервисный концентратор МВД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России»;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нахождении ребенка на полном государственном обеспечении –автоматизированная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изменении фамилии, имени или отчества для лиц, изменивших фамилию, имя или отчество –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ограничении в родительских правах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отобрании ребенка при непосредственной угрозе его жизни или здоровью –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праве собственности на жилое помещение, права на которое зарегистрированы в Едином государственном реестре недвижимости из Федеральной службы государственной регистрации, кадастра и картографии;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родителя (при наличии указанных обстоятельств) –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родителя (при наличии указанных обстоятельств) –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родителя заявителя (при наличии указанных обстоятельств) – ФНС, ЕГР ЗАГС.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епредставление заявителем документов, сведений, предусмотренных пунктом 2.11.2 настоящего Регламента, не является основанием для отказа заявителю в предоставлении государственной услуги. Заявитель вправе самостоятельно представить документы, которые должны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быть получены посредством межведомственного информационного взаимодействия.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енной услуги или для отказа в предоставлении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услугой.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2.12.2.Решение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 5 к настоящему Регламенту, подписывается уполномоченным должностным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лицом органа опеки и попечительства и направляется заявителю указанным в заявление способом. 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роках и порядке предоставления государственной услуги, опубликованной на Республиканском портале, в государственной информационной системе «Реестр государственных и муниципальных услуг Республики Татарстан».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2.12.4. Основания для приостановления государственной услуги отсутствуют.</w:t>
      </w:r>
      <w:r/>
    </w:p>
    <w:p>
      <w:pPr>
        <w:ind w:left="0" w:right="0" w:firstLine="709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2.12.5. Основания для отказа в предоставлении государственной услуги: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349" w:right="0" w:firstLine="0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 Перечень осуществляемых при предоставлении государственной услуги административных процедур: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прием и регистрация запроса и документов, необходимых для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выдача Заявителю результата предоставления государственной услуги;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исправление технической ошибки.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11 к настоящему Регламенту, определяет категорию заявителя и необх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одимый для предоставления государственной услуги перечень документов и (или) информации.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№11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услуги(далее – консультирование заявителя).</w:t>
      </w:r>
      <w:r/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 Исправление допущенных ошибок (описки, опечатки, грамматической ошибки) в выданной документации.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 (далее – консультирование заявителя).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3.2.1.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 (работником), ответственным за выполнение административной процедуры, является: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МФЦ – работник МФЦ;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заявителя в орган опеки и попечительства – уполномоченное должностное лицо органа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Республиканском портале, сайте органа опеки и попечительства о порядке и сроках предоставления государственной услуги, в 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567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 Предоставление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 Принятие и рассмотрение запроса и комплекта документов, представленных заявителем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3.3.1.1. Заявитель может подать запрос лично, через доверенное лицо, по почте, электронной почте, в орган опеки и попечительства, через Республиканский портал,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3.3.1.2. Прием документов для предоставления государственной услуги через МФЦ или удаленное рабочее место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обращения заявителя (представителя заявителя) с запросом.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Результат: готовый к отправке запрос и документы.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направляет запрос и документы, принятые от заявителя в орган опеки и попечительства в электронной форме (в составе электронных дел) в течение сроков, предусмотренных локальным актом МФЦ, но не позднее одного рабочего дня со дня обращения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явителя в структурное подразделение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3.3.1.3. Прием документов для предоставления государственной услуги в электронной форме через Республиканский портал.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для подачи запроса в электронной форме выполняет следующие действия: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выполняет авторизацию;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открывает форму электронного запроса;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отправляет заполненный электронный запрос (нажимает соответствующую кнопку в форме электронного запроса);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получает уведомление об отправке электронного запроса.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3.3.1.4. Рассмотрение комплекта документов органом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в случае обращения заявителя с запросом в орган опеки и попечительства: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определяет предмет обращения;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устанавливает личность заявителя;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проводит проверку полномочий лица, подающего документы;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роводит проверку соответствия документов требованиям, указанным в пункте 2.11.1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ркнутых слов и иных не оговоренных исправлений);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документов, указанных в пункте 2.11.1 Регламента на бумажном носителе, осуществляет сканирование представленных документов;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распечатывает запрос;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передает заявителю на проверку и подписание;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подписания сканирует подписанный запрос;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возвращает подписанный запрос и оригиналы бумажных документов заявителю.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наличия оснований для отказа в приеме документов должностное лицо, ответственное за прием документов, оформляется в соответствии с формой, установленной в приложении № 5 к настоящему Регламенту, подписывается уполномоченным должностным лицом орган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опеки и попечительства и направляется заявителю указанным в запросе способом.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после поступления документов на рассмотрение: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изучает поступившие электронные дела, в том числе приложенные заявителем документы в электронной форме и электронные образы документов;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проверяет комплектность, читаемость электронных образов документов;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оснований, предусмотренных пунктом 2.12.1 Регламента, подготавливает проект решения об отказе в приеме документов, необходимых для предоставления государственной услуги.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направляется на согласование в установленном порядке посредством системы электронного документооборота.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процедур, указанных в настоящем подпункте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поступления заявления на рассмотрение.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принятый на рассмотрение заявление и комплект документов или проект решения об отказе в приеме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 Формирование и направление межведомственных запросов в органы (организации), участвующие в предоставлении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для направления запроса является зарегистрированное заявление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3.3.2.1.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сы о предоставлении документов и сведений, предусмотренных пунктом 2.11.3 настоящего Регламента.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день принятия заявления и комплекта документов на рассмотрение.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3.3.2.2.Перечень запрашиваемых документов, необходимых для предоставления государственной услуги: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рождении ребенка. 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заключении (расторжении) брака.Запрос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отцовства – 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установлении опеки над ребенком из решения органа опеки и попечительства.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сведения, подтверждающие полномочия представителя заявителя.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направляется в Федеральную нотариальную палату, Единую информационную систему нотариата;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регистрационном учете по месту жительства и месту пребывания в том числе справка о том, что место нахождения разыскиваемого родителя не установлено. Запрос направляется в Министерство внутренних дел Российской Федерации, электронный сервис «Серв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исный концентратор МВД России»;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нахождении ребенка на полном государственном обеспечении.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изменении фамилии, имени или отчества для лиц, изменивших фамилию, имя или отчество. Запрос направляется в ФНС, ЕГР ЗАГС;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(при наличии указанных обстоятельств). Запрос направляется в автоматизированную информационную систему «Опека и 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об отобрании ребенка при непосредственной угрозе его жизни или здоровью.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праве собственности на жилое помещение, права на которое зарегистрированы в Едином государственном реестре недвижимости. Запрос направляется в Федеральную службу государственной регистрации, кадастра и картографии;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родителя (при наличии указанных обстоятельств). Запрос направляется в автоматизированную информационную систему «Опека и попечительство»;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родителя заявителя (при наличии указанных обстоятельств). Запрос направляется в ФНС, ЕГР ЗАГС.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.3.2.3. По межведомственным запросам документы (их копии или сведения, содержащиеся в них), предусмотренные пунктом 2.11.3 Регламента, предоставляются органами, в распоряжении которых находятся эти документы в электронной форме, в соответствии с постановле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3.3.2.4. Межведомственное информационное взаимодействие может осуществляться на бумажном носителе: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бумажном носителе, документы (их копии или сведения, содержащиеся в них), предус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мотренные подпунктом 2.11.3 Регламента, предоставляются органами, в распоряжении которых находятся эти документы.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подготовки и направления ответа на межведомственные запросы в соответствии с частью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твенной регистрации прав на объекты недвижимости)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равленные должностному лицу, ответственному за направление межведомственных запросов.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заявителя.»;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3.3.2.5. Исполнение процедур, указанных в подпункте 3.3.2.1,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униципальных услуг, в том числе с момента регистрации заявления.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 Подготовка результата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3.3.3.1. Должностное лицо, ответственное за исполнение процедуры на основании поступивших документов и (или) информации, необходимых для предоставления государственной услуги: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2.12.5 настоящего Регламента;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подготавливает проект решения о выдаче разрешения или проект решения об отказе в выдаче разрешения с указанием причин отказа;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направляет проект решения о выдаче разрешения с приложением оформленного разрешения или проект решения об отказе в выдаче разрешения и проект письма об отказе в выдаче разрешения на подпись руководителю орган опеки и попечительства (лицу, им уполномоченном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осуществляются в течение восьми календарных дней с момента окончания предыдущей процедуры.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процедуры: проект результата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3.3.3.2. Согласование результата предоставления государственной услуги осуществляется руководителем органа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Подготовленные проекты результатов предоставления государственной услуги имеющие замечания, возвращаются на доработку лицу, ответственному за подготовку результата предоставления государственной услуги. После устранения замечаний проекты документов результ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атов предоставления государственной услуги повторно передаются на согласование.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 на доработку лицу, ответственному за подготовку результата предоставления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3.3.3.3. Согласованные проекты результатов предоставления государственной услуги направляются лицом, ответственным за подготовку результата предоставления государственной услуги на подписание проектов документов руководителю (лицу, исполняющим обязанности)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подписанное руководителем (лицом, исполняющим обязанности) Исполнительного комитета муниципального района (городского округа) Республики Татарстан решение о выдаче разрешения или решение об отказе в выдаче разреше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3.3.3.4. Исполнение процедур, указанных в 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дарственных и муниципальных услуг.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 Выдача (направление) заявителю результата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3.3.4.1. Регистрация решения по государственной услуге и извещение заявителя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Основанием начала выполнения процедуры является получение должностным лицом, ответственным за выполнение процедуры, документа, подтверждающего предоставление (отказ в предоставлении) государственной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Должностным лицом, ответственным за выполнение административной процедуры, является сотрудник (далее - должностное лицо, ответственное за выдачу (направление) документов).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выдачу (направление) документов: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извещает заявителя (его представителя) через Республиканский портал о результате предоставления государственной услуги и о возможности получения результата предоставления государственной услуги в МФЦ, в органе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3.3.4.2.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электронного документ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на бумажном носителе заверяется уполномоченным сотрудником с использованием усиленной квалифицированной электронной подписи.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центров предостав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ления государственных и муниципальных услуг», результат предоставления государственной услуги, выданный (направленный) заявителю.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усиленной квалифицированной электронной подписью руководителем (лицом,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подписания результата государственной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(направляет) заявителю результат государственной услуги. По требованию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я. 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государственной услуги вручается заявителю в день прибытия заявителя в соответствии с Правилами внутреннего трудового распорядка органа опеки и попечительства. Результат государственной услуги направляется заявителю в день подписания результата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осударственной услуги, руководителем (исполняющим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выполнения административных процедур являются: фиксация факта выдачи (направления)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выдача результата предоставления государственной услуги (в том числе отказ в предоставлении государственной услуги).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 Исправление допущенных ошибок (описки, опечатки, грамматической ошибки) в выданной документации (далее - исправление технической ошибки).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(приложение № 3 настоящего Регламента);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документы, имеющие юридическую силу, свидетельствующие о наличии технической ошибки.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Республиканский портал или МФЦ.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двух рабочих дней с даты регистрации заявления.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принятый и зарегистрированный запрос, направленный на рассмотрение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пунктами 3.3.3.2. и 3.3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.3.3.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4.Cпособы информирования заявителя об изменении статуса рассмотрения запроса о предоставлении государственной услуги.</w:t>
      </w:r>
      <w:r/>
    </w:p>
    <w:p>
      <w:pPr>
        <w:ind w:left="0" w:right="0" w:firstLine="709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направление уведомлений на адрес электронной почты заявителя, указанный при подаче запроса;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исправлении технических ошибок по заявлению заявителя.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4.3. Содержание уведомления, направляемого заявителю, включает: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уникальный идентификационный номер запроса (регистрационный номер);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актуальный статус рассмотрения запроса;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дату изменения статуса;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краткое описание предпринятых действий или необходимой обратной связи (при необходимости);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способ и место получения результата услуги (при наступлении соответствующего этапа).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4.4. Периодичность информирования заявителя: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каждом изменении статуса запроса;</w:t>
      </w:r>
      <w:r/>
    </w:p>
    <w:p>
      <w:pPr>
        <w:ind w:left="0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обращении лично в орган, предоставляющий государственную услугу, или в МФЦ;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личный кабинет на Едином портале (при наличии технической возможности);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посредством обращения по телефону, электронной почте, другим официально опубликованным каналам связи органа, предоставляющего услугу;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письменного обращения.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/>
    </w:p>
    <w:p>
      <w:pPr>
        <w:ind w:left="0" w:right="0" w:firstLine="709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 </w:t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 запроса, 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подаваемого законным представителем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-20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left="0" w:right="-204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наличии)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действующий(-ая) в интересах несовершеннолетнего(них):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 _____________________________________________________________________________________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наличии, дата рождения)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проживающего(их) по адресу: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______________________________________________________,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дать предварительное разрешение на заключение (согласие на заключение) кредитного договора (или договора займа от имени несовершеннолетнего) и передачу приобретаемого помещения в залог (ипотеку)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Заемное обязательство будет исполнено за счет________________________________ </w:t>
      </w:r>
      <w:r/>
    </w:p>
    <w:p>
      <w:pPr>
        <w:ind w:left="0" w:right="0" w:firstLine="72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результат предоставления государственной услуги следующим способом: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 ____________________</w:t>
      </w:r>
      <w:r/>
    </w:p>
    <w:p>
      <w:pPr>
        <w:ind w:left="3838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2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вершеннолетнего жилым помещением и передачу приобретаемого помещения в залог (ипотеку)</w:t>
      </w:r>
      <w:r/>
    </w:p>
    <w:p>
      <w:pPr>
        <w:ind w:left="5522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2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Рекомендуемая форма запроса, подаваемого несовершеннолетним, достигшим 14 лет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-204" w:firstLine="0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6282f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________________________________________________________________________________,</w:t>
      </w:r>
      <w:r/>
    </w:p>
    <w:p>
      <w:pPr>
        <w:ind w:left="0" w:right="-204" w:firstLine="0"/>
        <w:jc w:val="center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проживающий (ая) по адресу_______________________________________________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дать предварительное разрешение на заключение (согласие на заключение) кредитного договора (или договора займа) и передачу приобретаемого помещения в залог (ипотеку).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Заемное обязательство будет исполнено за счет________________________________ </w:t>
      </w:r>
      <w:r/>
    </w:p>
    <w:p>
      <w:pPr>
        <w:ind w:left="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Согласие родителя (законного представителя) ________________________________</w:t>
      </w:r>
      <w:r/>
    </w:p>
    <w:p>
      <w:pPr>
        <w:ind w:left="0" w:right="-204" w:firstLine="0"/>
        <w:jc w:val="center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 </w:t>
      </w:r>
      <w:r/>
    </w:p>
    <w:p>
      <w:pPr>
        <w:ind w:left="0" w:right="-204" w:firstLine="0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6282f"/>
          <w:sz w:val="28"/>
        </w:rPr>
        <w:t xml:space="preserve">__________________ имеется.</w:t>
      </w:r>
      <w:r/>
    </w:p>
    <w:p>
      <w:pPr>
        <w:ind w:left="0" w:right="-204" w:firstLine="0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-204" w:firstLine="0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6282f"/>
          <w:sz w:val="28"/>
        </w:rPr>
        <w:t xml:space="preserve">______________20___года ____________________________________</w:t>
      </w:r>
      <w:r/>
    </w:p>
    <w:p>
      <w:pPr>
        <w:ind w:left="0" w:right="-204" w:firstLine="0"/>
        <w:jc w:val="both"/>
        <w:spacing w:after="0" w:line="6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6282f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26282f"/>
          <w:sz w:val="28"/>
        </w:rPr>
        <w:t xml:space="preserve">(подпись/ расшифровка подписи)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результат предоставления государственной услуги следующим способом: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Республиканский портал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___________________ 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 20___ г. ___________________________ __________________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законного представителя)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56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№3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Запрос 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 исправлении технической ошибки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Прошу исправить техническую ошибку_____________________________________, допущенную в решении о выдаче (об отказе в выдаче) предварительного разрешения на заключение (дачу согласия на заключение) кредитного договора и договора займа от имени несовершенноле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тнего в целях содержания или обеспечения несовершеннолетнего жилым помещением и передачу приобретаемого помещения от _________ № ______________. </w:t>
      </w:r>
      <w:r/>
    </w:p>
    <w:p>
      <w:pPr>
        <w:ind w:left="455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дата решения номер решения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Согласен(на) на получение информации об исправлении технической ошибки ________________________________________________________________________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(письменно, по телефону, смс-сообщением, электронной почтой)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«___» _____________ 20___ г. 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 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заявителя)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№4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Предварительное разрешение 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 </w:t>
      </w:r>
      <w:r/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от___________20 №___________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результатам рассмотрения заявления 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от_________№_____ предоставить государст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венную услугу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помещения в залог (ипотеку).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_________(дата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№5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вершеннолетнего жилым помещением и передачу приобретаемого помещения в залог (ипотеку)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581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№_____ отказать в приеме документов, необходимых для предоставления услуги, по следующим основаниям: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2.6.1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/>
    </w:p>
    <w:p>
      <w:pPr>
        <w:ind w:left="238" w:right="0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425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Кому_________________________</w:t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Контактные данные______________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от___________20 №___________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результатам рассмотрения запроса 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отказать в предоставлении государственн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услуги, по следующему основанию: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заявитель не соответствует категории лиц, имеющих право на предоставление услуги, предусмотренным пунктом 1.2 настоящего Регламента;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обнаружение недостоверных сведений, содержащихся в представленных документах;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(дата решения)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(должность сотрудника органа, уполномоченного на принятие решения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4944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№7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ршеннолетнего жилым помещением и передачу приобретаемого помещения в залог (ипотеку)</w:t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955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персональных данных ______________________________________________________________________,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омещением и передачу приобретаемого помещения в залог (ипотеку)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85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/>
    </w:p>
    <w:p>
      <w:pPr>
        <w:ind w:left="85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85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№8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819" w:right="0" w:hanging="1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личных персональных данных, с целью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 несовершеннолетнего в целях содержания или обеспечения несовершеннолетнего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1) персональные данные: ___________________________________________;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2) специальные категории персональных данных: 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3) биометрические персональные данные: отсутствуют__________________.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1843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№9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360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согласие______________________________________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зак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данных):_________________________________________________________________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 ____________ 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№10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Руководителю Исполнительного комитета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муниципального района (городского округа) РТ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ОГРН:___________________________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ind w:left="5528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480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даю свое согласие 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на обработку (передачу,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заключение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данных):_______________________________________________________________________________________ 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субъекта персональных данных) (дата) 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№11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Идентификаторы категорий (признаков) заявителей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1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4"/>
        <w:gridCol w:w="4960"/>
        <w:gridCol w:w="408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Выдача разрешения на заключение трудового договора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620" w:right="0" w:firstLine="0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Таблица 2</w:t>
      </w:r>
      <w:r/>
    </w:p>
    <w:p>
      <w:pPr>
        <w:ind w:left="0" w:right="0" w:firstLine="0"/>
        <w:jc w:val="right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/>
    </w:p>
    <w:p>
      <w:pPr>
        <w:ind w:left="1803" w:right="0" w:firstLine="0"/>
        <w:jc w:val="center"/>
        <w:spacing w:after="0" w:line="6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Исчерпывающий перечень документов, необходимых для предоставления государственной услуги</w:t>
      </w:r>
      <w:r/>
    </w:p>
    <w:p>
      <w:pPr>
        <w:ind w:left="0" w:right="0" w:firstLine="0"/>
        <w:jc w:val="center"/>
        <w:spacing w:after="0" w:line="65" w:lineRule="atLeast"/>
        <w:shd w:val="clear" w:color="ffffff" w:fill="ffffff"/>
        <w:rPr>
          <w:rFonts w:ascii="Arial" w:hAnsi="Arial" w:eastAsia="Arial" w:cs="Arial"/>
          <w:color w:val="21212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</w:rPr>
        <w:t xml:space="preserve"> </w:t>
      </w:r>
      <w:r>
        <w:rPr>
          <w:rFonts w:ascii="Arial" w:hAnsi="Arial" w:eastAsia="Arial" w:cs="Arial"/>
          <w:color w:val="212121"/>
          <w:sz w:val="24"/>
          <w:szCs w:val="24"/>
          <w:highlight w:val="none"/>
        </w:rPr>
      </w:r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5"/>
        <w:gridCol w:w="1993"/>
        <w:gridCol w:w="2550"/>
        <w:gridCol w:w="395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ия в залог (ипотеку)по форме согласно приложению №1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паспорта заявителя (предоставляется в случае личного обращения).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tabs>
                <w:tab w:val="center" w:pos="888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справка кредитной организации о предварительном одобрении кредита (займа), содержащая информацию о включении в состав собственников несовершеннолетнего гражданина, сумме и сроках кредитования;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договор купли-продажи (проект) либо протокол участия, выбора и передачи жилого помещения в собственность;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договор целевого денежного займа.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 (приложение № 7 к настоящему Регламенту),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 8 к настоящему Регламенту)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shd w:val="nil" w:color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</w:rPr>
        <w:br w:type="page" w:clear="all"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spacing w:after="0" w:line="65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244" w:right="0" w:firstLine="27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№12 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/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8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некорректное заполнение обязательных полей в форме заявления о предоставлении услуги на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представленные документы или сведения утратили силу на момент обращения за государственной услугой.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522" w:right="0" w:firstLine="0"/>
        <w:jc w:val="both"/>
        <w:spacing w:after="0" w:line="57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 №13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Административному регламенту 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вершеннолетнего жилым помещением и передачу приобретаемого помещения в залог (ипотеку)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Основания для отказа в предоставлении государственной услуги</w:t>
      </w:r>
      <w:r/>
    </w:p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9"/>
        <w:gridCol w:w="2067"/>
        <w:gridCol w:w="69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обнаружение недостоверных сведений, содержащихся в представленных документах;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выявление при рассмотрении документов, представленных заявителем, обстоятельств, свидетельствующих об ущемлении имущественных и жилищных прав несовершеннолетних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567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справочное)</w:t>
      </w:r>
      <w:r/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Административному регламенту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и передачу приобретаемого помещения в залог (ипотеку)</w:t>
      </w:r>
      <w:r/>
    </w:p>
    <w:p>
      <w:pPr>
        <w:ind w:left="0" w:right="0" w:firstLine="0"/>
        <w:jc w:val="center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района (городского округа)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3057"/>
        <w:gridCol w:w="381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органа опеки и попечительства,</w:t>
            </w:r>
            <w:r/>
          </w:p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3"/>
        <w:gridCol w:w="2583"/>
        <w:gridCol w:w="42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0"/>
        <w:jc w:val="both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720"/>
        <w:jc w:val="center"/>
        <w:spacing w:after="19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муниципального района (городского округа)</w:t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2585"/>
        <w:gridCol w:w="42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Глава муниципального района (городского округа)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4819" w:right="0" w:hanging="17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both"/>
        <w:spacing w:after="159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  <w:style w:type="paragraph" w:styleId="846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Без интервал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676" w:customStyle="1">
    <w:name w:val="ConsPlusNormal"/>
    <w:next w:val="946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https://internet.garant.ru/#/document/71145140/entry/0" TargetMode="External"/><Relationship Id="rId11" Type="http://schemas.openxmlformats.org/officeDocument/2006/relationships/hyperlink" Target="https://internet.garant.ru/#/document/73991658/entry/121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2025-11-09T17:15:02Z</dcterms:modified>
</cp:coreProperties>
</file>