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646"/>
        <w:ind w:left="0" w:right="5529" w:firstLine="0"/>
        <w:jc w:val="both"/>
        <w:rPr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1_646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646"/>
        <w:numPr>
          <w:ilvl w:val="0"/>
          <w:numId w:val="2"/>
        </w:numPr>
        <w:ind w:left="0" w:right="426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17.09.2021 № под-1200/21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Министр</w:t>
        <w:tab/>
        <w:tab/>
        <w:tab/>
        <w:tab/>
        <w:tab/>
        <w:tab/>
        <w:tab/>
        <w:tab/>
        <w:tab/>
        <w:t xml:space="preserve">   И.Г.Хадиуллин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shd w:val="nil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64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656"/>
        <w:ind w:left="6718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/>
    </w:p>
    <w:p>
      <w:pPr>
        <w:pStyle w:val="656"/>
        <w:ind w:left="6718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</w:t>
      </w:r>
      <w:r/>
    </w:p>
    <w:p>
      <w:pPr>
        <w:pStyle w:val="656"/>
        <w:ind w:left="6718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 </w:t>
      </w:r>
      <w:r/>
    </w:p>
    <w:p>
      <w:pPr>
        <w:pStyle w:val="656"/>
        <w:ind w:left="6718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_________№___________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56"/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Административный регламент</w:t>
        <w:br/>
        <w:t xml:space="preserve"> предоставления государственной услуги по назначению и выплате единовременного пособия при передаче ребенка на воспитание в семью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56"/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56"/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Настоящий регламент устанавливает стандарт и порядок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назначению и выплате единовременного пособия при передаче ребенка на воспитание в семью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– государственная услуга).</w:t>
      </w:r>
      <w:r/>
    </w:p>
    <w:p>
      <w:pPr>
        <w:ind w:left="0" w:right="0" w:firstLine="720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1.2.Заявителями на предоставление государственной услуги являются:</w:t>
      </w:r>
      <w:r/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усыновители, опекуны (попечители), приемные родители, из числа: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граждан Российской Федерации, проживающих на территории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постоянно проживающих на территории Российской Федерации иностранных граждан и лиц без гражданства, а также беженцев;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граждан Российской Федерации, проходящих военную службу по контракту, службу в качестве лиц рядового и начальствующего состава в органах внутренних дел, в войсках национальной гвардии, в Государственной противопожарной службе, в учреждениях и органах уголо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вно-исполнительной системы, органах принудительного исполнения Российской Федерации, в таможенных органах, и гражданского персонала воинских формирований Российской Федерации, находящихся на территориях иностранных государств в случаях, когда выплата этих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пособий предусмотрена международными договорами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иципальных услуг (функций)» (далее соответственно - категории (признаки) заявителей, Единый портал).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Стандарт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Наименование государственной услуги:</w:t>
      </w:r>
      <w:r/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Назначение и выплата единовременного пособия при передаче ребенка на воспитание в семью.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услугу.</w:t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образования и науки Республики Татарстан (далее – Министерство).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Результатом предоставления государственной услуги является: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 назначении и выплате единовременного пособия при передаче ребенка на воспитание в семью(приложение №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Регламенту);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(приложение № 5 к настоящему Регламенту);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 (приложение №4 к настоящему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Регламенту).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2.3.1.2 Реквизиты решения о предоставлении государственной услуги: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наименование органа, уполномоченного на принятие решения о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заявителя;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 и электронная почта заявителя;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решения о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решения о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запроса;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запроса;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должность сотрудника, уполномоченного на принятие решения о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сотрудника, уполномоченного на принятие решения о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электронной подписи.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2.3.1.3 Реквизиты решения об отказе в предоставлении государственной услуги: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наименование органа, уполномоченного на принятие решения об отказе в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заявителя;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 и электронная почта заявителя;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решения об отказе в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решения об отказе в предоставлении государственной услуги;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дата запроса;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запроса;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 для отказа в предоставлении государственной услуги в соответствии с пунктом 2.8.2. настоящего Регламента;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должность сотрудника органа, уполномоченного на принятие решения;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фамилия, имя, отчество (последнее – при наличии) сотрудника органа, уполномоченного на принятие решения;</w:t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электронной подписи.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</w:p>
    <w:p>
      <w:pPr>
        <w:ind w:left="0" w:right="0" w:firstLine="708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(функций)» (https://www.gosuslugi.ru/) (далее – Едины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в письменной форме лично заявителю либо почтовым отправлением.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2.3.3.Результатом предоставления государственной услуги не является реестровая запись.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15-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дневный срок, со дня регистрации запроса и документов.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2.4.2. 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Республиканского портала.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2.4.3. Государственная услуга в случае, если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срока, предусмотренного Регламентом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2.4.4. Направление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2.4.5.Выдача документа, являющегося результатом государственной услуги, осуществляется в день обращения заявителя.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2.5.1. Государственная услуга предоставляется на безвозмездной основе.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2.6.2. Очередность для отдельных категорий заявителей не установлена.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2.8.Требования к помещениям, в которых предоставляется государственная услуга.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такие помещения.</w:t>
      </w:r>
      <w:r/>
    </w:p>
    <w:p>
      <w:pPr>
        <w:ind w:left="0" w:right="0" w:firstLine="709"/>
        <w:jc w:val="both"/>
        <w:spacing w:after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2.8.2. В соответствии с </w:t>
      </w:r>
      <w:hyperlink r:id="rId9" w:tooltip="https://internet.garant.ru/#/document/10164504/entry/0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беспрепятственного входа в помещения и выхода из них;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допуск сурдопереводчика и тифлосурдопереводчика;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/>
    </w:p>
    <w:p>
      <w:pPr>
        <w:ind w:left="0" w:right="0" w:firstLine="709"/>
        <w:jc w:val="both"/>
        <w:spacing w:after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1" w:tooltip="https://internet.garant.ru/#/document/73991658/entry/121221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 Показатели доступности и качества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2.9.1. Показателями доступности предоставления государственной услуги являются: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возможности), Республиканском портале;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2.9.2. Показателями качества предоставления государственной услуги являются: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соблюдение сроков приема и рассмотрения документов;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соблюдение срока получения результата государственной услуги;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отсутствие обоснованных жалоб на нарушения Регламента, совершенные работниками органа опеки и попечительства;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количество взаимодействий заявителя с должностными лицами (без учета консультаций):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портале.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сведения о ходе предоставления государственной услуги;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информацию о результате предоставления государственной услуги.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ектронная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/>
    </w:p>
    <w:p>
      <w:pPr>
        <w:ind w:left="0" w:right="0" w:firstLine="709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Государственная услуга может быть осуществлена через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При предоставлении государственной услуги используются: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автоматизированная информационная система «Опека и попечительство».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многофункциональных центрах.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записи на любые свободные для приема дату и время в пределах установленного в МФЦ графика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Особенности предоставления государственной услуги в электронной форме.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2.10.6.1. При предоставлении государственной услуги в электронной форме заявитель вправе: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возможности), Республиканск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портала;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лицами, государственными и муниципальными служащими.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2.10.6.3. При формировании запроса обеспечивается: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заявления;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йся сведений, отсутствующих в ЕСИА;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2.10.8. Перечень информационных систем, используемых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электронного взаимодействия» (далее-СМЭВ).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2.10.10.возможность (невозможность)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щих государственные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 Исчерпывающий перечень документов, необходимых для предоставления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2.11.1.Для получения государственной услуги заявитель предоставляет следующие документы: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запрос: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при обращении в МФЦ, в Министерство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№1 к настоящему Регламенту);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6 апреля 2011 года № 63-ФЗ «Об электронной подписи» (далее – Федеральный закон № 63-ФЗ),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 обращении посредством Единого портала (при наличии технической возможности), Республиканского портала.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/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 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(попечительства), в том числе по договору о приемной семье;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3) справка, подтверждающая факт установления инвалидности, - для лиц, усыновивших ребенка-инвалида;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4) документы, подтверждающие родственные отношения детей, - для лиц, усыновивших братьев и (или) сестер;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5) копия паспорта заявителя (предоставляется в случае личного обращения заявителя).При обращении посредством Республиканского портала сведения из документа, удостоверяющего личность, проверяются при подтверждении учетной записи в федеральной государственно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форме» (далее – ЕСИА);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6) согласие на обработку персональных данных (приложение № 6 к настоящему Регламенту), согласие на обработку персональных данных, разрешённых для распространения (приложение № 7 к настоящему Регламенту) (представляются лицом, не являющимся заявителем, в сл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законом от 27 июля 2006 года № 152-ФЗ «О персональных данных» обработка таких персональных данных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Для назначения и выплаты единовременного пособия при передаче ребенка на воспитание в семью в случае установления опеки (попечительства) или передачи в приемную семью дополнительно представляются копии соответствующих документов, подтверждающих отсутствие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родителей (единственного родителя) или невозможность воспитания ими (им) детей: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1) копии свидетельств о государственной регистрации смерти родителей, выданные компетентным органом иностранного государства, и их нотариально удостоверенный перевод на русский язык;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3) документ об обнаружении найденного (подкинутого) ребенка, выданный органом внутренних дел или органом опеки и попечительства;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4) заявление родителей о согласии на усыновление (удочерение) ребенка, оформленное в установленном порядке;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5) решение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родителе(-лях) из актовой записи о рождении ребенка;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6) 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7) копия свидетельства о государственной регистрации рождения, в строках «мать» и «отец» которого стоят прочерки, выданного компетентным органом иностранного государства, и его нотариально удостоверенного перевода на русский язык.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Иностранные граждане и лица без гражданства, постоянно проживающие на территории Российской Федерации, временно проживающие на территории Российской Федерации и подлежащие обязательному социальному страхованию на случай временной нетрудоспособности и в свя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зи с материнством, а также беженцы дополнительно представляют: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1) копию документа, удостоверяющего личность, в том числе с отметкой о выдаче вида на жительство;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 копию разрешения на временное проживание;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3) копию трудовой книжки, заверенную надлежащим образом, и (или) сведения о трудовой деятельности, полученные в установленномстатьей 66.1Трудового кодекса Российской Федерации порядке или копию трудового договора, заверенную надлежащим образом;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4) копию удостоверения беженца.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документов, предусмотренных пунктом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государственных и муниципальных услуг».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онные образы документов,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 нотариусами;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лично (лицом, действующим от имени заявителя, на основании доверенности);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почтовым отправлением с уведомлением о вручении;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 адресу электронной почты органа опеки и попечительства. 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/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1)сведения о рождении - Федеральная налоговая служба (далее - ФНС), Единый государственный реестр записей актов гражданского состояния (далее - ЕГР ЗАГС);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2)сведения о государственной регистрации рождения несовершеннолетнего;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3)сведения огосударственной регистрации смерти родителя несовершеннолетнего;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4)сведения о государственной регистрации расторжения брака (или заключения брака) – ФНС, ЕГР ЗАГС;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5) о государственной регистрации установления отцовства;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6) справка органов внутренних дел о том, что место нахождения разыскиваемого родителя не установлено.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7) справка территориального органа социальной защиты населения о прекращении выплаты ежемесячного пособия на ребенка (из Министерства труда занятости и социальной защиты Республики Татарстан);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8) справка из территориального органа Фонда социального страхования Российской Федерации о регистрации в органах Фонда в качестве страхователя или копию удостоверения беженца (из Государственного Учреждения Региональное отделение Фонда социального страхова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ния Российской Федерации по Республике Татарстан);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9) справка, подтверждающая факт установления инвалидности, - для лиц, усыновивших ребенка-инвалида (из Пенсионного фонда РФ);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10) справка с места жительства ребенка о совместном его проживании с опекуном (попечителем), приемными родителями (из Министерства внутренних дел РФ);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сведений, предусмотренных пунктом 2.6.2 настоящего Регламента, не является основанием для отказа заявителю в предоставлении государственной услуги. Заявитель вправе самостоятельно представить документы, которые должны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быть получены посредством межведомственного информационного взаимодействия.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енной услуги или для отказа в предоставлении государственной услуги.</w:t>
      </w:r>
      <w:r/>
    </w:p>
    <w:p>
      <w:pPr>
        <w:ind w:left="0" w:right="0" w:firstLine="567"/>
        <w:jc w:val="both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2.6.1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2.12.2.Решение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 4 к настоящему Регламенту, подписывается уполномоченным должностным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лицом органа опеки и попечительства и направляется заявителю указанным в заявление способом.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роках и порядке предоставления государственной услуги, опубликованной на Республиканском портале, в государственной информационной системе «Реестр государственных и муниципальных услуг Республики Татарстан».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2.12.4. Основания для приостановления государственной услуги отсутствуют.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2.12.5. Основания для отказа в предоставлении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right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 Перечень осуществляемых при предоставлении государственной услуги административных процедур: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прием и регистрация запроса и документов, необходимых для предоставления государственной услуги;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выдача Заявителю результата предоставления государственной услуги;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исправление технической ошибки.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11 к настоящему Регламенту, определяет категорию заявителя и необх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одимый для предоставления государственной услуги перечень документов и (или) информации.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№11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услуги(далее – консультирование заявителя).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 Исправление допущенных ошибок (описки, опечатки, грамматической ошибки) в выданной документации.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 (далее – консультирование заявителя).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3.2.1.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 (работником), ответственным за выполнение административной процедуры, является: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МФЦ – работник МФЦ;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орган опеки и попечительства – уполномоченное должностное лицо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Республиканском портале, сайте органа опеки и попечительства о порядке и сроках предоставления государственной услуги, в 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567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 Предоставление государственной услуги по назначению и выплате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 Принятие и рассмотрение заявления и комплекта документов, представленных заявителем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3.3.1.1. Заявитель может подать заявление лично, через доверенное лицо, по почте, электронной почте, в орган опеки и попечительства, через Республиканский портал,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3.3.1.2. Прием документов для предоставления государственной услуги через МФЦ или удаленное рабочее место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2.6.1 настоящего Регламента.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обращения заявителя (представителя заявителя) с запросом.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Результат: готовое к отправке запрос и документы.</w:t>
      </w:r>
      <w:r/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Работник МФЦ, ведущий прием запроса: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удостоверяет личность заявителя;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определяет предмет обращения;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проводит проверку полномочий лица, подающего документы;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проводит проверку соответствия документов требованиям, указанным в настоящем Регламенте;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заполняет электронную форму запроса в АИС МФЦ;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при предоставлении документов, указанных в настоящем Регламента на бумажном носителе, осуществляет сканирование представленных документов;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распечатывает запрос из АИС МФЦ;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передает заявителю на проверку и подписание;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после подписания сканирует подписанный запрос в АИС МФЦ;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возвращает подписанное заявление и оригиналы бумажных документов;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выдает заявителю расписку в приеме 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Работник МФЦ направляет пакет документов, принятых от заявителя в Министерство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заявление и документы (электронное дело), направленные в орган опеки и попечительства, посредством системы электронного взаимодействия.</w:t>
      </w:r>
      <w:r/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3.3.1.3. Прием документов для предоставления государственной услуги в электронной форме через Республиканский портал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 Единый портал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(при наличии технической возможности).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Заявитель для подачи заявления в электронной форме выполняет следующие действия: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выполняет авторизацию на Республиканском портале и Едином портале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открывает форму электронного запрос на Республиканском портале и Едином портале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подтверждает согласие на обработку персональных данных (устанавливает соответствующую отметку о согласии в форме электронного запроса);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отправляет заполненное электронный запрос (нажимает соответствующую кнопку в форме электронного запроса);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получает уведомление об отправке электронного запроса.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3.3.1.4. Рассмотрение комплекта документов органом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в случае обращения заявителя с запросом в орган опеки и попечительства:</w:t>
      </w:r>
      <w:r/>
    </w:p>
    <w:p>
      <w:pPr>
        <w:ind w:left="0" w:right="0" w:firstLine="709"/>
        <w:jc w:val="both"/>
        <w:spacing w:after="0" w:line="57" w:lineRule="atLeast"/>
        <w:rPr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определяет предмет обращения;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устанавливает личность заявителя;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присваивает запросу номер в соответствии с номенклатурой дел и статус «Проверка документов», что отражается в личном кабинете </w:t>
      </w:r>
      <w:hyperlink r:id="rId12" w:tooltip="https://internet.garant.ru/document/redirect/8224902/213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white"/>
            <w:u w:val="none"/>
          </w:rPr>
          <w:t xml:space="preserve">Республиканского портала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и Единого портала (при наличии технической возможности);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проводит проверку полномочий лица, подающего документы;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720"/>
        <w:jc w:val="both"/>
        <w:spacing w:after="0" w:line="57" w:lineRule="atLeast"/>
        <w:rPr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проверяет комплектность, читаемость электронных образов документов;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проверяет соблюдение условий действительности</w:t>
      </w:r>
      <w:hyperlink r:id="rId13" w:tooltip="https://internet.garant.ru/document/redirect/12184522/21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white"/>
            <w:u w:val="none"/>
          </w:rPr>
          <w:t xml:space="preserve"> </w:t>
        </w:r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white"/>
            <w:u w:val="none"/>
          </w:rPr>
          <w:t xml:space="preserve">электронной подписи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, посредством обращения к </w:t>
      </w:r>
      <w:hyperlink r:id="rId14" w:tooltip="https://internet.garant.ru/document/redirect/8224902/213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white"/>
            <w:u w:val="none"/>
          </w:rPr>
          <w:t xml:space="preserve">Республиканскому порталу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и </w:t>
      </w:r>
      <w:hyperlink r:id="rId15" w:tooltip="https://internet.garant.ru/document/redirect/8224902/214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highlight w:val="white"/>
            <w:u w:val="none"/>
          </w:rPr>
          <w:t xml:space="preserve">Единому порталу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 (при наличии технической возможности)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(в случае, если заявителем представлены электронные образы документов, подписанные усиленной квалифицированной электронной подписью).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роводит проверку соответствия документов требованиям, указанным в пункте 2.11.1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ркнутых слов и иных не оговоренных исправлений);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документов, указанных в пункте 2.11.1 Регламента на бумажном носителе, осуществляет сканирование представленных документов;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распечатывает запрос;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передает заявителю на проверку и подписание;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подписания сканирует подписанный запрос;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возвращает подписанный запрос и оригиналы бумажных документов заявителю.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направляется на согласование в установленном порядке посредством системы электронного документооборота.</w:t>
      </w:r>
      <w:r/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запроса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процедур, указанных в настоящем подпункте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поступления заявления на рассмотрение.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принятый на рассмотрение заявление и комплект документов или проект решения об отказе в приеме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 Формирование и направление межведомственных запросов в органы (организации), участвующие в предоставлении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3.3.2.1.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сы о предоставлении документов и сведений, предусмотренных пунктом 2.11.2 настоящего Регламента.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день принятия заявления и комплекта документов на рассмотрение.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3.3.2.2.Перечень запрашиваемых документов, необходимых для предоставления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рождении ребенка. Запрос направляется в ФНС, ЕГР ЗАГС;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заключении (расторжении) брака.Запрос направляется в ФНС, ЕГР ЗАГС;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отцовства – Запрос направляется в ФНС, ЕГР ЗАГС;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опеки над ребенком из решения органа опеки и попечительства.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сведения, подтверждающие полномочия представителя заявителя.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направляется в Федеральную нотариальную палату, Единую информационную систему нотариата;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регистрационном учете по месту жительства и месту пребывания в том числе справка о том, что место нахождения разыскиваемого родителя не установлено. Запрос направляется в Министерство внутренних дел Российской Федерации, электронный сервис «Серв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исный концентратор МВД России»;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нахождении ребенка на полном государственном обеспечении.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изменении фамилии, имени или отчества для лиц, изменивших фамилию, имя или отчество. Запрос направляется в ФНС, ЕГР ЗАГС;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(при наличии указанных обстоятельств). Запрос направляется в автоматизированную информационную систему «Опека и 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отобрании ребенка при непосредственной угрозе его жизни или здоровью.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праве собственности на жилое помещение, права на которое зарегистрированы в Едином государственном реестре недвижимости. Запрос направляется в Федеральную службу государственной регистрации, кадастра и картографии;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родителя (при наличии указанных обстоятельств).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родителя заявителя (при наличии указанных обстоятельств). Запрос направляется в ФНС, ЕГР ЗАГС.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3.3.2.3. По межведомственным запросам документы (их копии или сведения, содержащиеся в них), предусмотренные пунктом 2.6.2 Регламента, предоставляются органами, в распоряжении которых находятся эти документы в электронной форме, в соответствии с постановле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3.3.2.4. Межведомственное информационное взаимодействие может осуществляться на бумажном носителе: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бумажном носителе, документы (их копии или сведения, содержащиеся в них), предус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мотренные подпунктом 2.6.2 Регламента, предоставляются органами, в распоряжении которых находятся эти документы.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подготовки и направления ответа на межведомственные запросы в соответствии с частью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твенной регистрации прав на объекты недвижимости)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равленные должностному лицу, ответственному за направление межведомственных запросов.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3.3.2.5. Исполнение процедур, указанных в подпункте 3.3.2.1,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униципальных услуг, в том числе с момента регистрации заявления.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 Подготовка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3.3.3.1. Должностное лицо, ответственное за исполнение процедуры на основании поступивших документов и (или) информации, необходимых для предоставления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2.8.2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подготавливает проект решения о выдаче разрешения или проект решения об отказе в выдаче разрешения с указанием причин отказа;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направляет проект решения о выдаче разрешения с приложением оформленного разрешения или проект решения об отказе в выдаче разрешения и проект письма об отказе в выдаче разрешения на подпись руководителю орган опеки и попечительства (лицу, им уполномоченном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осуществляются в течение восьми календарных дней с момента окончания предыдущей процедуры.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процедуры: проект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3.3.3.2. Согласование результата предоставления государственной услуги осуществляется руководителем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Подготовленные проекты результатов предоставления государственной услуги имеющие замечания, возвращаются на доработку лицу, ответственному за подготовку результата предоставления государственной услуги. После устранения замечаний проекты документов результ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атов предоставления государственной услуги повторно передаются на согласование.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 на доработку лицу, ответственному за подготовку результата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3.3.3.3. Согласованные проекты результатов предоставления государственной услуги направляются лицом, ответственным за подготовку результата предоставления государственной услуги на подписание проектов документов руководителю (лицу, исполняющим обязанности)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подписанное руководителем (лицом, исполняющим обязанности) Исполнительного комитета муниципального района (городского округа) Республики Татарстан решение о выдаче разрешения или решение об отказе в выдаче разреше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3.3.3.4. Исполнение процедур, указанных в 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 Выдача (направление) заявителю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3.3.4.1. Регистрация решения по государственной услуге и извещение заявителя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процедуры является получение должностным лицом, ответственным за выполнение процедуры, документа, подтверждающего предоставление (отказ в предоставлении)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лицом, ответственным за выполнение административной процедуры, является сотрудник (далее - должностное лицо, ответственное за выдачу (направление) документов).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выдачу (направление) документов: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извещает заявителя (его представителя) через Республиканский портал о результате предоставления государственной услуги и о возможности получения результата предоставления государственной услуги в МФЦ, в органе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3.3.4.2.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электронного документ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на бумажном носителе заверяется уполномоченным сотрудником с использованием усиленной квалифицированной электронной подписи.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центров предостав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ления государственных и муниципальных услуг», результат предоставления государственной услуги, выданный (направленный) заявителю.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усиленной квалифицированной электронной подписью руководителем (лицом,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(направляет) заявителю результат государственной услуги. По требованию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 и попечительства. Результат государственной услуги направляется заявителю в день подписания результата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выполнения административных процедур являются: фиксация факта выдачи (направления)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выдача результата предоставления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 Исправление допущенных ошибок (описки, опечатки, грамматической ошибки) в выданной документации (далее - исправление технической ошибки).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(приложение № 2 настоящего Регламента);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документы, имеющие юридическую силу, свидетельствующие о наличии технической ошибки.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Республиканский портал или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двух рабочих дней с даты регистрации заявления.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пунктами 3.3.3.2. и 3.3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.3.3.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4.Cпособы информирования заявителя об изменении статуса рассмотрения запроса о предоставлении государственной услуги.</w:t>
      </w:r>
      <w:r/>
    </w:p>
    <w:p>
      <w:pPr>
        <w:ind w:left="0" w:right="0" w:firstLine="709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направление уведомлений на адрес электронной почты заявителя, указанный при подаче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исправлении технических ошибок по заявлению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4.3. Содержание уведомления, направляемого заявителю, включает: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уникальный идентификационный номер запроса (регистрационный номер);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актуальный статус рассмотрения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дату изменения статуса;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краткое описание предпринятых действий или необходимой обратной связи (при необходимости);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способ и место получения результата услуги (при наступлении соответствующего этапа).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4.4. Периодичность информирования заявителя: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каждом изменении статуса запроса;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лично в орган, предоставляющий государственную услугу, или в МФЦ;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личный кабинет на Едином портале (при наличии технической возможности);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обращения по телефону, электронной почте, другим официально опубликованным каналам связи органа, предоставляющего услугу;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письменного обращения.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</w:t>
      </w:r>
      <w:r/>
    </w:p>
    <w:p>
      <w:pPr>
        <w:ind w:left="5522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 запроса, 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подаваемого законным представителем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(наименование Организации)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Ф.И.О. (при наличии) Заявителя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почтовый адрес (при необходимости)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удостоверяющего личность)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подтверждающего полномочия 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Запрос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after="0" w:line="65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 назначении и выплате единовременного пособия при передаче ребенка на воспитание в семью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-20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left="0" w:right="-204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(Ф.И.О. –последнее при наличии)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доставить мне единовременное пособие при передаче ребенка на воспитание в семью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_____________________________________________________</w:t>
      </w:r>
      <w:r>
        <w:rPr>
          <w:rFonts w:ascii="Arial" w:hAnsi="Arial" w:eastAsia="Arial" w:cs="Arial"/>
          <w:color w:val="000000"/>
          <w:sz w:val="20"/>
        </w:rPr>
        <w:t xml:space="preserve">___________________________________________________________________________________________.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(фамилия, имя, отчество (последнее - при наличии) ребенка))</w:t>
      </w:r>
      <w:r/>
    </w:p>
    <w:p>
      <w:pPr>
        <w:ind w:left="0" w:right="0" w:firstLine="68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доставить пособие одним из указанных способов: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перечислить в кредитную организацию 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(наименование организации, в которую должно быть перечислено пособие,банковский идентификационный код (БИК), идентификационный номер налогоплательщика (ИНН) и код причины постановки на учет (КПП), присвоенные при постановке на учет в налоговом органе по ме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сту нахождения организации, номер счета лица, имеющего право на получение пособий)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доставить по адресу ___________________________________________________.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(адрес, организация почтовой связи)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заявлению прилагаю следующие документы: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_____________________________________________________________________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_____________________________________________________________________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 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(дата) (подпись)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подачи запроса через законного представителя или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доверенное лицо, в заявлении дополнительно указываются:</w:t>
      </w:r>
      <w:r/>
    </w:p>
    <w:p>
      <w:pPr>
        <w:ind w:left="0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(фамилия, имя, отчество (последнее - при наличии), почтовый адрес места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жительства (места пребывания, фактического проживания) законного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представителя (доверенного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(наименование, номер и серия документа, удостоверяющего личность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законного представителя (доверенного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(сведения об организации, выдавшей документ, удостоверяющий личность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законного представителя (доверенного лица), и дате его выдачи)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(наименование, номер и серия документа, подтверждающего полномочия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законного представителя (доверенного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(сведения об организации, выдавшей документ, подтверждающий полномочия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законного представителя (доверенного лица), и дате его выдачи)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720"/>
        <w:jc w:val="both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_______________ 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(дата) (подпись законного представителя, доверенного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результат предоставления государственной услуги следующим способом: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 ____________________</w:t>
      </w:r>
      <w:r/>
    </w:p>
    <w:p>
      <w:pPr>
        <w:ind w:left="3838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right="0" w:firstLine="708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2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(наименование Организации)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Ф.И.О. (при наличии) Заявителя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почтовый адрес (при необходимости)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удостоверяющего личность)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подтверждающего полномочия 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Запрос 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 исправлении технической ошибки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Прошу исправить техническую ошибку_____________________________________, допущенную в решении о предоставлении государственной услуги по назначению и выплате единовременного пособия при передаче ребенка на воспитание в семью от ____________ № ____________.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455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дата решения номер решения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Согласен(на) на получение информации об исправлении технической ошибки ____________________________________________________________________________________.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(письменно, по телефону, смс-сообщением, электронной почтой)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«___» _____________ 20___ г. 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 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№3</w:t>
      </w:r>
      <w:r/>
    </w:p>
    <w:p>
      <w:pPr>
        <w:ind w:left="5522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Решение 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 предоставлении государственной услуги по назначению и выплате единовременного пособия при передаче ребенка на воспитание в семью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 </w:t>
      </w:r>
      <w:r/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«__» _________ 20__ г. №___________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</w:t>
      </w:r>
      <w:r/>
    </w:p>
    <w:p>
      <w:pPr>
        <w:ind w:left="4248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Федерации,Федерального закона от 19.05.1995 № 81-ФЗ «О государственных пособиях гражданам, имеющим детей»,</w:t>
      </w:r>
      <w:hyperlink r:id="rId16" w:tooltip="https://internet.garant.ru/document/redirect/400114744/0" w:history="1">
        <w:r>
          <w:rPr>
            <w:rStyle w:val="814"/>
            <w:rFonts w:ascii="Times New Roman" w:hAnsi="Times New Roman" w:eastAsia="Times New Roman" w:cs="Times New Roman"/>
            <w:color w:val="000000" w:themeColor="text1"/>
            <w:sz w:val="28"/>
            <w:u w:val="none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интруда России от 29.09.2020 № 668н «Об утверждении Порядка и условий назначения и выплаты государственных пособий гражданам, имеющим детей», Семейного кодекса Республики Татарстан принято решение от_________№_____ предоставить государственную услугу 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назначению и выплате единовременного пособия при передаче ребенка на воспитание в семью: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(Ф.И.О, дата рождения)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размере _____________ рублей.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 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(дата решения) 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№4</w:t>
      </w:r>
      <w:r/>
    </w:p>
    <w:p>
      <w:pPr>
        <w:ind w:left="5522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highlight w:val="white"/>
        </w:rPr>
      </w:r>
    </w:p>
    <w:p>
      <w:pPr>
        <w:ind w:left="5040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форма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581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«__» _________ 20__г.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______________ 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 _______________ №___________ отказа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 в приеме документов, необходимых для предоставления услуги, по следующим основаниям: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2.6.1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/>
    </w:p>
    <w:p>
      <w:pPr>
        <w:ind w:left="238" w:right="0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ФИО (последнее – при наличии) сотрудника органа, уполномоченного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№5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5040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425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Кому_________________________</w:t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«__» _________ 20__г. №___________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 №______________ и приложенных к нему документов, на основании Гражданского кодекса Российской Федерации, Семейного кодекса Российской Федерации,</w:t>
      </w: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 </w:t>
      </w:r>
      <w:hyperlink r:id="rId17" w:tooltip="https://internet.garant.ru/document/redirect/10101162/0" w:history="1">
        <w:r>
          <w:rPr>
            <w:rStyle w:val="81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19.05.1995 № 81-ФЗ «О государственных пособиях гражданам, имеющим детей»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,</w:t>
      </w:r>
      <w:hyperlink r:id="rId18" w:tooltip="https://internet.garant.ru/document/redirect/400114744/0" w:history="1">
        <w:r>
          <w:rPr>
            <w:rStyle w:val="814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 приказа</w:t>
        </w:r>
      </w:hyperlink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Минтруда России от 29.09.2020 № 668н «Об утверждении Порядка и условий назначения и выплаты государственных пособий гражданам, имеющим детей», Семейного кодекса Республики Татарстан, принято решение отказать в предоставлении государственной услуги, по след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ующему основанию: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(дата решения)  ( должность сотрудника органа, уполномоченного на принятие решения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ФИО (последнее – при наличии) сотрудника органа,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уполномоченного на принятие решения 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(наименование Организации)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Ф.И.О. (при наличии) Заявителя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почтовый адрес (при необходимости)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удостоверяющего личность)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подтверждающего полномочия 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4819" w:right="0" w:hanging="1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личных персональных данных, с целью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 несовершеннолетнего в целях содержания или обеспечения несовершеннолетнего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1) персональные данные: ___________________________________________;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2) специальные категории персональных данных: 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3) биометрические персональные данные: отсутствуют__________________.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№7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(наименование Организации)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Ф.И.О. (при наличии) Заявителя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почтовый адрес (при необходимости)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удостоверяющего личность)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(реквизиты документа, подтверждающего полномочия представителя Заявителя)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</w:t>
      </w:r>
      <w:r/>
    </w:p>
    <w:p>
      <w:pPr>
        <w:ind w:left="5528" w:right="0" w:firstLine="0"/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0" w:right="0" w:firstLine="480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даю свое согласие 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(указать наименование Организации)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на обработку (передачу,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заключение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данных):_______________________________________________________________________________________ 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субъекта персональных данных) (дата) 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№8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Идентификаторы категорий (признаков) заявителей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3"/>
        <w:gridCol w:w="4960"/>
        <w:gridCol w:w="408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Выдача разрешения на заключение трудового договора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/>
          </w:p>
        </w:tc>
      </w:tr>
    </w:tbl>
    <w:p>
      <w:pPr>
        <w:ind w:left="462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2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1803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Исчерпывающий перечень документов, необходимых для предоставления государственной услуги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4"/>
        <w:gridCol w:w="1992"/>
        <w:gridCol w:w="2532"/>
        <w:gridCol w:w="396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о назначении и выплате единовременного пособия при передаче ребенка на воспитание в семью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форме согласно приложению №1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паспорта заявителя или представителя заявителя (предоставляется в случае личного обращения).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(попечительства), в том числе по договору о приемной семье;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согласие на обработку персональных данных;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согласие на обработку персональных данных, разрешённых для распространения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документы, подтверждающие родственные отношения детей, - для лиц, усыновивших братьев и (или) сестер;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справка, подтверждающая факт установления инвалидности, - для лиц, усыновивших ребенка-инвалида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244" w:right="0" w:firstLine="27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№9</w:t>
      </w:r>
      <w:r/>
    </w:p>
    <w:p>
      <w:pPr>
        <w:ind w:left="5522" w:right="0" w:firstLine="0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8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или сведения утратили силу на момент обращения за государственной услугой.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предоставлении государственной услуги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7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обнаружение недостоверных сведений, содержащихся в представленных документах;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(справочное)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азначению и выплате единовременного пособия при передаче ребенка на воспитание в семью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56"/>
        <w:ind w:left="0" w:right="0" w:firstLine="0"/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Министерство образования и науки Республики Татарстан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6"/>
        <w:gridCol w:w="1821"/>
        <w:gridCol w:w="360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Должность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Телефон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Электронный адрес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Министр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294-95-90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Ilsur.Hadiullin@tatar.ru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Заместитель министра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294-95-02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Alsu.Asadullina@tatar.ru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Начальник отдела опеки, попечительства и педагогической поддержки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294-95-66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Anzhelika.Bychkova.H@tatar.ru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0" w:right="0" w:firstLine="720"/>
        <w:jc w:val="both"/>
        <w:spacing w:after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56"/>
        <w:ind w:left="0" w:right="0" w:firstLine="0"/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Кабинет Министров Республики Татарстан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072"/>
        <w:gridCol w:w="1873"/>
        <w:gridCol w:w="340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отдела высшего, среднего профессионального образования и науки Аппарата Кабинета Министров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264-77-20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Andrey.Vybornov@tatar.ru</w:t>
            </w:r>
            <w:r/>
          </w:p>
        </w:tc>
      </w:tr>
    </w:tbl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1_646" w:customStyle="1">
    <w:name w:val="ConsPlusNormal"/>
    <w:next w:val="946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https://internet.garant.ru/#/document/71145140/entry/0" TargetMode="External"/><Relationship Id="rId11" Type="http://schemas.openxmlformats.org/officeDocument/2006/relationships/hyperlink" Target="https://internet.garant.ru/#/document/73991658/entry/121221" TargetMode="External"/><Relationship Id="rId12" Type="http://schemas.openxmlformats.org/officeDocument/2006/relationships/hyperlink" Target="https://internet.garant.ru/document/redirect/8224902/213" TargetMode="External"/><Relationship Id="rId13" Type="http://schemas.openxmlformats.org/officeDocument/2006/relationships/hyperlink" Target="https://internet.garant.ru/document/redirect/12184522/21" TargetMode="External"/><Relationship Id="rId14" Type="http://schemas.openxmlformats.org/officeDocument/2006/relationships/hyperlink" Target="https://internet.garant.ru/document/redirect/8224902/213" TargetMode="External"/><Relationship Id="rId15" Type="http://schemas.openxmlformats.org/officeDocument/2006/relationships/hyperlink" Target="https://internet.garant.ru/document/redirect/8224902/214" TargetMode="External"/><Relationship Id="rId16" Type="http://schemas.openxmlformats.org/officeDocument/2006/relationships/hyperlink" Target="https://internet.garant.ru/document/redirect/400114744/0" TargetMode="External"/><Relationship Id="rId17" Type="http://schemas.openxmlformats.org/officeDocument/2006/relationships/hyperlink" Target="https://internet.garant.ru/document/redirect/10101162/0" TargetMode="External"/><Relationship Id="rId18" Type="http://schemas.openxmlformats.org/officeDocument/2006/relationships/hyperlink" Target="https://internet.garant.ru/document/redirect/400114744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2025-11-09T17:29:32Z</dcterms:modified>
</cp:coreProperties>
</file>