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9"/>
        <w:ind w:left="0" w:right="5529" w:firstLine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 утверждении Административного регламента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предоставления государственной услуги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по выдаче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859"/>
        <w:ind w:right="453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59"/>
        <w:ind w:left="0" w:right="426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республиканскими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постановлением Кабинета Министров Республики Татарстан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 29 сентября 2025 года № 776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рстан</w:t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 р и к а з ы в а ю: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59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59"/>
        <w:numPr>
          <w:ilvl w:val="0"/>
          <w:numId w:val="2"/>
        </w:numPr>
        <w:ind w:left="0" w:right="426" w:firstLine="709"/>
        <w:jc w:val="both"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Утвердить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Административный регламент предоставления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по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выдаче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859"/>
        <w:ind w:left="0" w:right="426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2. Отделу опеки, попечительства и пе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дагогической поддержки Министерства образования и науки Республики Татарстан (А.Х.Бычкова)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pStyle w:val="859"/>
        <w:ind w:left="0" w:right="426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3. Признать утратившим в силу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приказ Министерства образования и науки Республики Татарстан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 24.12.2021 № под-1747/21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«Об утверждении Административного регламента предоставления государственной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услуги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по выдаче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pStyle w:val="859"/>
        <w:ind w:left="0" w:right="426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4. Контроль за исполнением настоящего приказа возложить на заместителя министра А.М.Асадуллину.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pStyle w:val="8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5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Министр</w:t>
        <w:tab/>
        <w:tab/>
        <w:tab/>
        <w:tab/>
        <w:tab/>
        <w:tab/>
        <w:tab/>
        <w:tab/>
        <w:tab/>
        <w:tab/>
        <w:t xml:space="preserve">   И.Г.Хадиуллин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shd w:val="nil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59"/>
        <w:ind w:left="6096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59"/>
        <w:ind w:left="60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риказом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и науки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59"/>
        <w:ind w:left="60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59"/>
        <w:ind w:left="60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5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59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/>
      <w:bookmarkStart w:id="0" w:name="P39"/>
      <w:r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дминистративный регламент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59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предоставления государственной услуги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выдаче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59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59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Общие положения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5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Настоящий регламент устанавливает стандарт и порядок предоставления государственной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на прекращение права собственности на объект недвижимости, принадлежащий несовершеннолетнему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государственная услуга).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Заявителями на предоставление государственной услуги являются: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  <w:tab/>
        <w:t xml:space="preserve">граждане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законные представители несовершеннолетних граждан, не достигших возраста четырнадцати лет,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желающие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получить предварительное разрешение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прекращение права собственности на объект недвижимости, принадлежащий несовершеннолетнему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заявители).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1.3. Требование предоставления заявителю государственной услуги в соответствии с категориями (призна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соответственно - категории (признаки) заявителей, Единый портал).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85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5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59"/>
        <w:ind w:firstLine="709"/>
        <w:jc w:val="both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59"/>
        <w:ind w:firstLine="709"/>
        <w:jc w:val="both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57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Наименование органа, предоставляющего государственную услугу.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>
        <w:rPr>
          <w:rFonts w:ascii="Times New Roman" w:hAnsi="Times New Roman" w:cs="Times New Roman"/>
          <w:sz w:val="28"/>
          <w:szCs w:val="28"/>
        </w:rPr>
        <w:t xml:space="preserve">Орган, ответственный за предоставление государственной услуги - орган опеки и попечительства Исполнительного комитета муниципального района (городского округа) Республики Татарстан (далее - орган опеки и попечительства)</w:t>
      </w:r>
      <w:r>
        <w:rPr>
          <w:rFonts w:ascii="Times New Roman" w:hAnsi="Times New Roman" w:cs="Times New Roman"/>
          <w:sz w:val="28"/>
          <w:szCs w:val="28"/>
        </w:rPr>
        <w:t xml:space="preserve"> по месту жительства заявителя.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Результатом предоставления государственной услуги является: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contextualSpacing/>
        <w:ind w:firstLine="709"/>
        <w:jc w:val="both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разрешение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(приложение № 6 к настоящему Регламенту);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государственной услуги (приложение № 5 к настоящему Регламенту).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об отказе в приеме документов, необходимых для предоставления услуги (Приложение № 4 к настоящему Регламенту).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firstLine="567"/>
        <w:jc w:val="both"/>
        <w:spacing w:before="108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2.3.2.Результат предоставления государственной услуги выдается (направляется) заявителю в соответствии с выбранным им способом получения: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 в форме электронного документа по адресу электронной почты и (или) в личный кабинет заявителя в федеральной государственной информационной системе «Единый портал государств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енных и муниципальных услуг (функций)» (https://www.gosuslugi.ru/) (далее – Единый портал) (при наличии технической возможности), в республиканской государственной информационной системе «Портал государственных и муниципальных услуг Республики Татарстан»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http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://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uslugi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tatarstan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/) (далее – Республиканский портал).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в) в письменной форме лично заявителю либо почтовым отправлением.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</w:rPr>
        <w:t xml:space="preserve">Результатом предоставления государственной услуги не является реестровая запись.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108" w:after="108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 Срок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4.1. Государственная услуга в случае, если запрос и документы, необходимые для предоставления государственной услуги, поданы заявителем посредством почтового отправления или лично, предоставляется в 15-дневный срок, со дня регистрации запроса и документов.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Государственная услуга в случае, если запрос и документы, необходимые для предоставления государственной услуги, поданы заявителем через личный кабинет заявителя на Едином портале (при наличии технической возможности) или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Республиканском портале, предоставляется в 15-дневный срок, со дня присвоения запросу номера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технической возможности) или Республиканского портала.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2.4.3. Государственная услуга в случае, 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сли запрос и документы, необходимые для предоставления государственной услуги, поданы заявителем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посредством МФЦ, предоставляется в 15-дневный срок, со дня подачи (поступления) запроса и документов, а также с учетом срока, предусмотренного Регламентом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2.4.4.Направление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запроса и документа, 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регистрации результата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 Размер платы, взимаемой с заявителя при предоставлении государственной услуги, и способы ее взимания.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2.5.1. Государственная услуга предоставляется на безвозмездной основе.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2.6.2. Очередность для отдельных категорий заявителей не установлена.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 Срок регистрации запроса заявителя о предоставлении государственной услуги.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2.7.1. При личном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Обеспечивается передача запроса и прилагаемых документов в орган опеки и попечительства в порядке и сроки, уст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ановленные соглашением о взаимодействии между органом опеки и попечительством и МФЦ.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органе опеки и попечительства запрос и прилагаемые документы, поступившие из МФЦ, регистрируются в день поступления.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2.7.2. При направлении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запроса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Единого портала (при наличии технической возможности), Республиканского портала заявитель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день регистрации запроса получает в личном кабинете на Едином портале (при наличии технической возможности), на Республиканском портале уведомление, подтверждающее, что запрос отправлен, в котором указываются регистрационный номер и дата подачи запроса.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2.7.3. При личном обращении в орган опеки и попечительства, через электронную почту органа опеки и попечительства, регистрация запроса осуществляется в день поступления запроса.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cs="Times New Roman"/>
          <w:sz w:val="28"/>
          <w:szCs w:val="28"/>
          <w:highlight w:val="green"/>
        </w:rPr>
      </w:r>
      <w:r>
        <w:rPr>
          <w:rFonts w:ascii="Times New Roman" w:hAnsi="Times New Roman" w:cs="Times New Roman"/>
          <w:sz w:val="28"/>
          <w:szCs w:val="28"/>
          <w:highlight w:val="green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2.8.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Требования к помещениям, в которых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предоставляется государственная услуга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2.8.1. Предоставление государственной услуги осуществляется в зданиях и помещениях, оборудованных противопожарной системой и системой пожаротушения.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Места приема заявителей оборудуются необходимой мебелью для оформления документов, информационными стендами.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Требования, кото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рым должны соответствовать помещения, в которых предоставляется государственная услуга, размещаются на официальном сайте органа, предоставляющего государственную услугу, а также на Едином портале  требований, которым должны соответствовать такие помещения.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2.8.2.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соответствии с </w:t>
      </w:r>
      <w:hyperlink r:id="rId11" w:tooltip="https://internet.garant.ru/#/document/10164504/entry/0" w:history="1">
        <w:r>
          <w:rPr>
            <w:rStyle w:val="863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Российской Федерации о социальной защите инвалидов при предоставлении государственной услуги обеспечивается: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возможность беспрепятственного входа в помещения и выхода из них;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3) возможность посадки в транспортное средство и высадки из него, в том числе с использованием кресла-коляски;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4) сопровождение инвалидов, имеющих стойкие расстройства функции зрения и самостоятельного передвижения, и оказание им помощи;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7) допуск сурдопереводчика и тифлосурдопереводчика;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8) допуск собаки-проводника при наличии документа, подтверждающего ее специальное обучение и выдаваемого по форме и в порядке, которые установлены </w:t>
      </w:r>
      <w:hyperlink r:id="rId12" w:tooltip="https://internet.garant.ru/#/document/71145140/entry/0" w:history="1">
        <w:r>
          <w:rPr>
            <w:rStyle w:val="863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Министерства труда и социальной защиты Российской Федерации от 22 июня 2015 г. № 386н «Об утверждении фермы документа, подтверждающего специальное обучение собаки-проводника, и порядка его выдачи»;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9) сказание работниками, предоставляющими услугу, помощи инвалидам в преодолении иных барьеров, мешающих получению ими услуг наравне с другими лицами.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 </w:t>
      </w:r>
      <w:hyperlink r:id="rId13" w:tooltip="https://internet.garant.ru/#/document/73991658/entry/121221" w:history="1">
        <w:r>
          <w:rPr>
            <w:rStyle w:val="863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подпунктах 1-4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 Показатели доступности и качества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2.9.1. Показателями доступности предоставления государственной услуги являются: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расположенность помещения, в котором ведется прием, выдача документов в зоне доступности общественного транспорта;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на официальном сайте органа опеки и попечительства, на Едином портале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наличии технической возможности), Республиканском портале;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оказание помощи инвалидам сотрудниками, предоставляющими государственную услугу, в преодолении барьеров, не связанных с обеспечением доступности помещений для инвалидов, мешающих получению ими услуг наравне с другими лицами.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2.9.2. Показателями качества предоставления государственной услуги являются: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соблюдение сроков приема и рассмотрения документов;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соблюдение срока получения результата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отсутствие обоснованных жалоб на нарушения Регламента, совершенные работниками органа опеки и попечительства;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количество взаимодействий заявителя с должностными лицами (без учета консультаций):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взаимодействие заявителя с работниками органа опеки и попечительства или МФЦ при предоставлении государственной услуги осуществляется один раз при представлении запроса со всеми необходимыми документами;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один раз в случае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необходимости получения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орган опеки и попечительства или МФЦ в форме экземпляра электронного документа на бумажном носителе.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Продолжительность одного взаимодействия заявителя с должностными лицами при предоставлении государственной услуги не превышает пятнадцати минут.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1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 (при наличии технической возможности), Республиканского портала.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2.9.3. Информация о ходе предоставления государственной услуги может быть получена заявителем в личном кабинете на Едином портале (при наличии технической возможности), Республиканском портале, в МФЦ.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Доступ 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сведениям о предоставлении государственной услуги, порядке предоставления услуги и иным документам выполняется без предварительной авторизации заявителя в личном кабинете на Едином портале (при наличии технической возможности), на Республиканском портале.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После авторизации в личном кабинете на Едином портале (при наличии технической возможности), Республиканском портале заявитель имеет возможность: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подать запрос,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необходимое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для предоставления государственной услуги; при необходимости прикрепить электронные образы документов (графические файлы), необходимые для предоставления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получить сведения о ходе предоставления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получить информацию о результате предоставления государственной услуги.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обеспечения возможности подачи в электронной форме запроса и документов, необходимых для предоставления государственной 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слуги, заявитель должен иметь ключ простой электронной подписи. Для получения ключа простой электронной подписи (далее – простая электронная подпись) заявителю необходимо пройти процедуру регистрации в ЕСИА. Онлайн-форма предварительной регистрации в ЕСИА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размещена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сайте в информационно-телекоммуникационной сети «Интернет» (доменное имя сайта в сети «Интернет» - esia.gosuslugi.ru/).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1" w:firstLine="709"/>
        <w:jc w:val="both"/>
        <w:spacing w:before="0" w:beforeAutospacing="0" w:after="0" w:afterAutospacing="0"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После прохождения процедуры регистрации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ЕСИА (как физического лица) заявитель - физическое лицо должен авторизоваться на Едином портале (при наличии технической возможности), Республиканском портале, используя простую электронную подпись. После авторизации в личном кабинете на Едином портале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(при наличии технической возможности), Республиканском портале, заявитель получает доступ к ранее поданным запросам и результатам предоставления услуг в электронном виде.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 Иные требования к предоставлению государственной услуги, в том числе: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предоставлении сведений о государственной услуге на государственных языках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2.10.1. Государственная услуга может быть осуществлена через МФЦ.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Государственная услуга че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 МФЦ предоставления государственных и муниципальных услуг предоставляется в части подачи запроса на получение государственной услуги и выдачи результата услуги при обращении заявителя за государственной услугой в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Возможность принятия МФЦ решения об отказе в приеме запроса и документов и (или) информации, необходимых для предоставления государственной услуги, не предусмотрена.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2.10.2. Предоставление услуг, которые являются необходимыми и обязательными для предоставления государственной услуги, не требуется.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2.10.3. При предоставлении государственной услуги используются: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Единая государственная информационная система социального обеспечения;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автоматизированная информационная система «Опека и попечительство».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2.10.4. Особенности предоставления государственной услуги в многофункциональных центрах.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Запис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 заявителей  на прием в МФЦ (далее - запись) осуществляется посредством Единого портала (при наличии технической возможности)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иканского портала, телефона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контакт-центра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МФЦ прием заявителя возможен по предварительной записи. Отсутствие  предварительной записи не препятствует приему заявителя в порядке очередности.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Заявителю (представителю заявителя) предоставляется записи на  любые свободные для приема дату и время в пределах установленного в МФЦ графика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осуществления предварительной записи посредством Единого портала (при наличии технической возможности), Республиканского портала заявителю (представителю заявителя) необходимо указать запрашиваемые системой данные, в том числе: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фамилию, имя, отчество (при наличии);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номер телефона;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адрес электронной почты (по желанию);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желаемую дату и время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в любое время вправе отказаться от предварительной записи.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нормативными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2.10.5. Особенности предоставления государственной услуги в электронной форме.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2.10.5.1. При предоставлении государственной услуги в электронной форме заявитель вправе: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получить информацию о порядке и сроках предоставления государственной услуги, размещенную на Едином портале (при наличии технической возможности) на Республиканском портале;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части 1 статьи 16 Федерального закона                                     от 27 июля 2010 года № 210-ФЗ «Об организации предоставления государственных и муниципальных услуг» (далее - Федеральный № 210-ФЗ), с использованием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Единого портала ((при наличии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технической возможности), Республиканского портала;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получить сведения о ходе выполнения запросов о предоставлении государственной услуги, поданных в электронной форме;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осуществить оценку качества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получить результат предоставления государственной услуги в форме электронного документа;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подать жалобу на решение и действие (бездействие)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ргана опеки и попечительства, а также его должностных лиц посредством Единого портала ((при наличии технической возможности), Республиканского портала, портала федеральной государственной информационной системы, обеспечивающей процесс досудебного (внесудеб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2.10.5.2. Формирование запроса осуществляется посредством заполнения электронной формы заявления на Едином портале (при наличии технической возможности), Республиканском портале без необходимости дополнительной подачи запроса в какой-либо иной форме.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2.10.5.3. При формировании запроса обеспечивается: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копирования и сохранения запросов и иных документов, необходимых для предоставления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печати на бумажном носителе копии электронной формы заявления;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сведений, опубликованных на Едином портале (при наличии технической возможности), Республиканском портале, в части, касающейся сведений, отсутствующих в ЕСИА;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вернуться на любой из этапов заполнения электронной формы заявления без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потери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ранее введенной информации;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2.10.6.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2.10.7. Перечень информационных систем, испо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льзуемых для предоставления государственной услуги: Единый портал (при наличии технической возможности), Республиканский портал, федеральная государственная информационная система «Единая система межведомственного электронного взаимодействия» (далее-СМЭВ).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2.10.8. 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2.10.9.возможность (невозм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ожность)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 Исчерпывающий перечень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trike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получения государственной услуги заявитель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предоставляет следующие документы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trike/>
          <w:sz w:val="28"/>
          <w:szCs w:val="28"/>
          <w:highlight w:val="green"/>
        </w:rPr>
      </w:r>
      <w:r>
        <w:rPr>
          <w:rFonts w:ascii="Times New Roman" w:hAnsi="Times New Roman" w:cs="Times New Roman"/>
          <w:strike/>
          <w:sz w:val="28"/>
          <w:szCs w:val="28"/>
          <w:highlight w:val="green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запрос: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форме документа на бумажном носителе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(приложение №1,2 к настоящему Регламенту);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rPr>
          <w:rFonts w:ascii="Arial" w:hAnsi="Arial" w:eastAsia="Arial" w:cs="Arial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в электронной форме (заполняется посредством внесения соответствующих сведений в интерактивную форму), </w:t>
      </w:r>
      <w:r>
        <w:rPr>
          <w:rFonts w:ascii="Times New Roman" w:hAnsi="Times New Roman"/>
          <w:sz w:val="28"/>
          <w:szCs w:val="28"/>
          <w:highlight w:val="white"/>
        </w:rPr>
        <w:t xml:space="preserve">подписанное</w:t>
      </w:r>
      <w:r>
        <w:rPr>
          <w:rFonts w:ascii="Times New Roman" w:hAnsi="Times New Roman"/>
          <w:sz w:val="28"/>
          <w:szCs w:val="28"/>
          <w:highlight w:val="white"/>
        </w:rPr>
        <w:t xml:space="preserve"> в соответствии с требованиями Федерального закона от 6 апреля 2011 года № 63-ФЗ «Об электронной подписи» (далее – Федеральный закон № 63-ФЗ), при обращении посредством Единого портала (при наличии технической возможности), Республиканского портала.</w:t>
      </w:r>
      <w:r>
        <w:rPr>
          <w:rFonts w:ascii="Arial" w:hAnsi="Arial" w:eastAsia="Arial" w:cs="Arial"/>
          <w:sz w:val="26"/>
          <w:szCs w:val="26"/>
        </w:rPr>
      </w:r>
      <w:r>
        <w:rPr>
          <w:rFonts w:ascii="Arial" w:hAnsi="Arial" w:eastAsia="Arial" w:cs="Arial"/>
          <w:sz w:val="26"/>
          <w:szCs w:val="26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документ, удостоверяющий личность заявителя (предоставляется в случае личного обращения заявителя). При обращении посредство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 Единого портала (при наличии технической возможности), Республиканского портала сведения из документа, удостоверяющего личность, проверяются при подтверждении учетной записи в федеральной государственной информационной системе «Единая система идентификац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ии и ау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копия свидетельства о рождении лица (лиц), выданного компетентным органом иностранного государства, и копия его нотариально удостоверенного перевода на русский язык (при наличии)</w:t>
      </w:r>
      <w: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правоустанавливающие документы на недвижимое имущество,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право на него не зарегистрировано в Едином государственном реестре недвижимости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Бланк запроса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ис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полнительного комитета соответствующего муниципального района или города республиканского значения Республики Татарстан (далее - Исполнительного комитета муниципального образования).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pStyle w:val="860"/>
        <w:ind w:firstLine="709"/>
        <w:jc w:val="both"/>
        <w:tabs>
          <w:tab w:val="left" w:pos="992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2.11.2. Запрос</w:t>
      </w:r>
      <w:r>
        <w:rPr>
          <w:rFonts w:ascii="Times New Roman" w:hAnsi="Times New Roman"/>
          <w:sz w:val="28"/>
          <w:szCs w:val="28"/>
          <w:highlight w:val="white"/>
        </w:rPr>
        <w:t xml:space="preserve"> и прилагаемые документы могут быть представлены (направлены) Заявителем одним из следующих способов: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60"/>
        <w:ind w:firstLine="709"/>
        <w:jc w:val="both"/>
        <w:tabs>
          <w:tab w:val="left" w:pos="992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 63-ФЗ.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60"/>
        <w:ind w:firstLine="709"/>
        <w:jc w:val="both"/>
        <w:tabs>
          <w:tab w:val="left" w:pos="992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 подаче запроса заявителю выдается расписка из МФЦ с регистрационным номером, подтверждающим, что запрос отправлен, и датой подачи электронного запроса;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60"/>
        <w:ind w:firstLine="709"/>
        <w:jc w:val="both"/>
        <w:tabs>
          <w:tab w:val="left" w:pos="992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2) через Единый портал (при наличии технической возможности), Республиканский портал в электронной форме.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60"/>
        <w:ind w:firstLine="709"/>
        <w:jc w:val="both"/>
        <w:tabs>
          <w:tab w:val="left" w:pos="992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 направлении запроса посредством Единого портала (при наличии технической возможности), Республиканского портала заявитель в день подачи</w:t>
      </w:r>
      <w:r>
        <w:rPr>
          <w:rFonts w:ascii="Times New Roman" w:hAnsi="Times New Roman"/>
          <w:sz w:val="28"/>
          <w:szCs w:val="28"/>
          <w:highlight w:val="white"/>
        </w:rPr>
        <w:t xml:space="preserve"> запроса получает в личном кабинете Единого портала (при наличии технической возможности), Республиканского портала и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60"/>
        <w:ind w:firstLine="709"/>
        <w:jc w:val="both"/>
        <w:tabs>
          <w:tab w:val="left" w:pos="992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 подаче документо</w:t>
      </w:r>
      <w:r>
        <w:rPr>
          <w:rFonts w:ascii="Times New Roman" w:hAnsi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/>
          <w:sz w:val="28"/>
          <w:szCs w:val="28"/>
          <w:highlight w:val="white"/>
        </w:rPr>
        <w:t xml:space="preserve">, предусмотренных пунктом 2.11.1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 подписанные электро</w:t>
      </w:r>
      <w:r>
        <w:rPr>
          <w:rFonts w:ascii="Times New Roman" w:hAnsi="Times New Roman"/>
          <w:sz w:val="28"/>
          <w:szCs w:val="28"/>
          <w:highlight w:val="white"/>
        </w:rPr>
        <w:t xml:space="preserve">нной подписью в соответствии с требованиями Федерального закона № 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</w:t>
      </w:r>
      <w:r>
        <w:rPr>
          <w:rFonts w:ascii="Times New Roman" w:hAnsi="Times New Roman"/>
          <w:sz w:val="28"/>
          <w:szCs w:val="28"/>
          <w:highlight w:val="white"/>
        </w:rPr>
        <w:t xml:space="preserve"> и муниципальных услуг».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лично;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почтовым отправлением с уведомлением о вручении;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по адресу электронной почты органа опеки и попечительства.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2.11.3. Документы, сведения, которые подлежат представлению в рамках межведомственного информационного взаимодействия из уполномоченных органов: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справка о рождении по форме № 2, утвержденной приказом Министерства юстиции Российской Федерации от 1 октября 2018 г. № 200 «Об утверждении форм справок и иных документов, подтверждающих наличие или отсутствие фактов госуд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 (из органо записи актов гражданского состояния);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сведения из Единого государственного реестра прав на недвижимое имущество и сделок с ним (</w:t>
      </w:r>
      <w:r>
        <w:rPr>
          <w:rFonts w:ascii="Times New Roman" w:hAnsi="Times New Roman" w:cs="Times New Roman"/>
          <w:sz w:val="28"/>
          <w:szCs w:val="28"/>
        </w:rPr>
        <w:t xml:space="preserve">содержащая</w:t>
      </w:r>
      <w:r>
        <w:rPr>
          <w:rFonts w:ascii="Times New Roman" w:hAnsi="Times New Roman" w:cs="Times New Roman"/>
          <w:sz w:val="28"/>
          <w:szCs w:val="28"/>
        </w:rPr>
        <w:t xml:space="preserve"> общедоступные сведения о зарегистрированных правах на объект недвижимости);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 уполномоченного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 о назначении опекуном (попечителем)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 наличии указанных обстоятельств);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59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В случае разных фамилий у одного из родителей и несовершеннолетнего: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r>
    </w:p>
    <w:p>
      <w:pPr>
        <w:pStyle w:val="859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а)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свидетельство об установлении отцовства;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r>
    </w:p>
    <w:p>
      <w:pPr>
        <w:pStyle w:val="859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б)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свидетельство о расторжении брака (или заключения брака).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Непредставление заявителем документов, содержащих вышеуказанные сведения, не является основанием для отказа заявителю в предоставлении услуги.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108" w:after="108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 Исчерпывающий перечень оснований для отказа в приеме запроса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  <w:r>
        <w:rPr>
          <w:rFonts w:ascii="Times New Roman" w:hAnsi="Times New Roman" w:cs="Times New Roman"/>
          <w:b/>
          <w:bCs/>
          <w:sz w:val="28"/>
          <w:szCs w:val="28"/>
          <w:highlight w:val="green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green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2.12.1. Основания для отказа в приеме документов, необходимых для предоставления государственной услуги отсутствуют, за исключением случаев: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отсутствие документов, указанных в пункте 2.11.1 настоящего Регламента;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обращение за предоставлением иной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документы, указанные в пункте 2.11.1 настоящего Регламента, представленные Заявителем, утратили силу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представленные документы имеют подчистки и исправления текста, которые не заверены в порядке, установленном законодательством;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 некорректное заполнение обязательных полей в форме интерактивного запроса в Едином портале (при наличии технической возможности) или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7)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9) 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запроса.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10)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2.12.2. Решение об отказе в приеме докум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ентов, необходимых для получения государственной услуги, с указанием причин отказа, оформляется в соответствии с формой, установленной в приложении № 4 к настоящему Регламенту, подписывается усиленной квалифицированной электронной подписью в установленном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порядке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уполномоченным должностным лицом органа опеки и попечительства и направляется заявителю выбранным им способом: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на бумажном носителе, при личном посещении органа опеки и попечительства;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по электронной почте орган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 опеки и попечительства, в том числе с использованием функционала официального сайта органа опеки и попечительства в информационно-телекоммуникационной сети «Интернет», или иным способом с использованием информационно-телекоммуникационной сети «Интернет»;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в электронной форме,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подписанную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(заверенную)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через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2.12.3. Запрещается отказывать в предоставлении государственной услуги в случае, если зап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рос о предоставлении государственной услуги подан в соответствии с информацией о сроках и порядке предоставления государственной услуги, опубликованной на Едином портале (при наличии технической возможности), Республиканском портале, на официальном сайте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органа опеки и попечительства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2.12.4. Основания для приостановления государственной услуги отсутствуют.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2.12.5. Основания для отказа в предоставлении государственной услуги: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наличие противоречивых сведений в запросе и приложенных к нему документах;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 несоответствие Заявителя кругу лиц, имеющих право на подачу запроса;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 запрос подан лицом, не имеющих полномочий представлять интересы Заявителя;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выявление при рассмотрении документов, представленных заявителем, обстоятельств, свидетельствующих о нарушении прав и законных интересов несовершеннолетнего.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5) отзыв запроса по инициативе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567"/>
        <w:jc w:val="both"/>
        <w:spacing w:before="108" w:after="108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widowControl w:val="off"/>
        <w:tabs>
          <w:tab w:val="left" w:pos="9923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3. Состав, последовательность и сроки выполнения административных процедур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widowControl w:val="off"/>
        <w:tabs>
          <w:tab w:val="left" w:pos="9923" w:leader="none"/>
        </w:tabs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3.1. Перечень осуществляемых при предоставлении государственной услуги административных процедур: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прием и регистрация запроса и документов, необходимых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формирование и направление межведомственных запросов в органы государственной власти и организации, участвующие в предоставлении государственной услуги с использованием СМЭВ;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рассмотрение запроса и комплекта документов, представленных заявителем, принятие решения о предоставлении (об отказе в предоставлении) государственной услуги и оформление результата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выдача Заявителю результата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 исправление технической ошибки.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3.1.1. Профилирование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Специалист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Отдела, МФЦ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осуществляет профилирование заявителя на основе анкетирования и в соответствии с Идентификатором категорий (признаков) заявителя, приведенном в Таблице 1 приложения № 8 к настоящему Регламенту, определяет категорию заявителя и необходимый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для предоставления государственной услуги перечень документов и (или) информации.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Процедура, устанавливаемая настоящим пунктом, осуществляется в день обращения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 процедуры, приведенном в Таблице 2 приложения №8 к настоящему Регламенту: определение перечня документов и (или) информации, необходимых для предоставления государственной услуги в зависимости от категории (признаков)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3.1.2. Консультирование заявителя, оказание помощи заявителю, в том числе в части составления запроса и оформлении документов, необходимых для предоставления государственной услуги (далее – консультирование заявителя).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3.1.3. Основанием начала выполнения консультирования заявителя является обращение заявителя по вопросам, связанным с предоставлением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Должностным лицом (работником), ответственным за выполнение административной процедуры, является: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обращении заявителя в МФЦ – работник МФЦ;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обращении заявителя в орган опеки и попечительства – специалист уполномоченного подразделения органа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3.1.4. Заявитель вправе обратиться за консультацией о порядке и сроках предоставления государственной услуги в МФЦ лично, по телефону и электронной почте.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может получить информацию о порядке предоставления государственной услуги на официальном сайте МФЦ http://mfc16.tatarstan.ru.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предусмотренные настоящим пунктом, выполняются в день обращения заявителя.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3.1.5.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вправе обратиться в орган опеки и попечительства по телефону и электронной почте, а также получить консультацию на Едином портале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Республиканском портале, сайте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органа опеки и попечительства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предусмотренные настоящим пунктом, выполняются в день обращения заявителя.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 Принятие и рассмотрение комплекта запроса и документов, представленных заявителем.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может подать запрос и прилагаемые к нему документы по почте, электронной почте, лично в орган опеки и попечительство, через Единый портал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Республиканский портал, в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3.2.1. Прием документов для предоставления государственной услуги через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(представитель заявителя) обращается в МФЦ с запросом о предоставлении государственной услуги и представляет документы в соответствии с пунктом 2.5.1 настоящего Регламента.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Процедура, устанавливаемая настоящим пунктом, осуществляется в день обращения заявителя (представителя заявителя) с запросом.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готовое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отправке запрос и документы.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Работник МФЦ направляет запрос и документы,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принятых от заявителя в орган опеки и попечительства в электронной форме (в составе электронных дел) в течение сроков, предусмотренных регламентом работы МФЦ, но не позднее одного календарного дня со дня обращения заявителя в структурное подразделение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запрос и документы (электронное дело), направленные в орган опеки и попечительства, посредством системы электронного взаимодействия.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3.2.2. Прием документов для предоставления государственной услуги в электронной форме через Единый портал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Республиканский портал.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для подачи запроса в электронной форме выполняет следующие действия: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выполняет авторизацию;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открывает форму электронного запроса;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заполняет форму электронного запроса, включающую сведения, необходимые и обязательные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прикрепляет документы в электронной форме или электронные образы документов к форме электронного запроса (при необходимости);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запроса);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подтверждает достоверность сообщенных сведений (устанавливает соответствующую отметку в форме электронного запроса);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отправляет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заполненный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электронный запрос (нажимает соответствующую кнопку в форме электронного запроса);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Электронный запрос подписывается в соответствии с требованиями Федерального закона № 63-ФЗ и Федерального закона № 210-ФЗ;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получает уведомление об отправке электронного запроса.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Форматно-логическая проверка сформированного 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проса на Едином портале (при наличии технической возможности) осуществляется автоматически на основании требований, определяемых настоящим Регламентом, в процессе заполнения заявителем каждого из полей электронной формы запроса. При выявлении некорректно 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аполненного поля электронной формы запроса в Едином портале (при наличии технической возможности)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устанавливаемые настоящим пунктом, выполняются в день обращения заявителя.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электронное дело, направленное в орган опеки и попечительства посредством системы электронного взаимодействия.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3.2.3. Рассмотрение комплекта документов органом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3.2.3.1. Основанием начала выполнения административной процедуры является поступление запроса и иных документов, необходимых для предоставления государственной услуги в орган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3.2.3.2. Должностное лицо органа опеки и попечительства, ответственное за прием документов, в случае обращения заявителя с запросом в орган опеки и попечительства: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определяет предмет обращения;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устанавливает личность заявителя;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проводит проверку полномочий лица, подающего документы;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проводит проверку соответствия документов требованиям, указанным в пункте 2.11.1 настоящего Регламента, проверку соответствия представленных документов установленным требованиям;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заполняет электронную форму запроса в автоматизированной информационной системе, предназначенной для оказания государственных и муниципальных услуг;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предоставлении документов, указанных в пункте 2.11.1 настоящего Регламента, на бумажном носителе, осуществляет сканирование представленных документов;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распечатывает запрос;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передает заявителю на проверку и подписание;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после подписания сканирует подписанный запрос;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возвращает подписанный запрос и оригиналы бумажных документов заявителю.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отсутствия оснований для отказа в приеме документов, должностное лицо, ответственное за прием документов, направляет заявител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ю, указанным в запросе способом, уведомление о поступлении запроса, содержащее входящий регистрационный номер запроса, дату получения запроса, перечень наименований файлов, представленных к нему документов, дату получения результата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3.2.3.3. Должностное лицо органа опеки и попечительства, ответственное за прием документов, после поступления документов на рассмотрение: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изучает поступившие электронные дела, в том числе приложенные заявителем документы в электронной форме и электронные образы документов;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проверяет комплектность, читаемость электронных образов документов.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наличии оснований, предусмотренных пунктом 2.12.5 Регламента, подготавливает проект решения об отказе в приеме документов, необходимых для предоставления государственной услуги.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Проект решения об отказе в приеме документов (приложение № 4 к настоящему Регламенту), необходимых для предоставления государственной услуги, с указанием причин отказа (в случае, если основания для отказа в приеме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документов, необход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содержат недостоверные и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или)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3.2.3.4. Исполнение процедур, указанных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подпунктах 3.2.3.1, 3.2.3.2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3.2.3.5. Административные процедуры, устанавливаемые подпунктом 3.2.3.3 настоящего Регламента, выполняются в день поступления запроса и прилагаемых документов на рассмотрение.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принятые на рассмотрение заявление и комплект документов или проект решения об отказе в приеме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 Формирование и направление межведомственных запросов в органы (организации), участвующие в предоставлении государственной услуги.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3.3.1. Основанием для направления запроса является зарегистрированный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запрос 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аявителя.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3.3.2. Должностное лицо, ответственное за нап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равление межведомственных запросов, подготавливает и направляет (в том числе с использованием единой системы межведомственного электронного взаимодействия) запросы о предоставлении документов и сведений, предусмотренных пунктом 2.5.3 настоящего Регламента.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3.3.2.1. Перечень запрашиваемых документов, необходимых для предоставления государственной услуги: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1) сведения о рождении ребенка – Федеральная налоговая служба (далее - ФНС), Единый государственный реестр записей актов гражданского состояния (далее - ЕГР ЗАГС);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сведения о заключении (расторжении) брака – ФНС, ЕГР ЗАГС;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сведения об установлении отцовства – ФНС, ЕГР ЗАГС;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сведения об установлении опеки над ребенком из решения органа опеки и попечительства – Министерство просвещения Российской Федерации, автоматизированная информационная система «Опека и попечительство»;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сведения о регистрационном учете по месту жительства и месту пребывания, в том числе справка, что место нахождения разыскиваемого родителя не установлено – Министерство внутренних дел Российской Федерации, электронный сервис «Сервисный концентратор МВД 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оссии»;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сведения о нахождении ребенка на полном государственном обеспечении – Министерство просвещения Российской Федерации, автоматизированная информационная система «Опека и попечительство»;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 сведения об изменении фамилии, имени или отчества для лиц, изменивших фамилию, имя или отчество – ФНС, ЕГР ЗАГС;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 сведения о лишении родительских прав – Министерство просвещения Российской Федерации, автоматизированная информационная система «Опека и попечительство»;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 сведения об ограничении родительских прав – Министерство просвещения Российской Федерации, автоматизированная информационная система «Опека и попечительство»;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10) сведения об отобрании ребенка при непосредственной угрозе его жизни или здоровью – Министерство просвещения Российской Федерации, автоматизированная информационная система «Опека и попечительство».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Межведомственный информационный запрос направляется в указанные органы с целью предоставления государственной услуги заявителю.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Процедуры, устанавливаемые настоящим пунктом, осуществляются в установленный законодательством срок.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3.3.2.2.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межведомственн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запросам документы (их копии или сведения, содержащиеся в них), предусмотренные пунктом 3.3.2.1. настоящего Регламента, предоставления органами, в распоряжении которых находятся эти документы в электронной форме, в соответствии с постановлением Правительст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ва Российской Федерации от 23 июня 2021 г. №963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взаимодействия между исполнительными органами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власти субъектов Российской Федерации и (или)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срок не позднее 48 часов с момента направлении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соответствующего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межведомственного запроса.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3.3.2.3.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Межведомственное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информационное взаимодействие может осуществляться на бумажном носителе: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    1) при невозможности осуществления межведомственного  информационного взаимодействия в электронной форме в связи с отсутствием запрашиваемых сведений в электронной форме;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916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 при необходимости предоставления оригиналов документов на бумажном носителе, документы при направлении межведомственного запроса.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     Если  межведомственное взаимодействие осуществляется на бумажном носителе, документы (их копии или сведения, содержащиеся в них),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предусмотренные подпунктом 3.3.2.1. настоящего Регламента, предоставляются органами, в распоряжении которых находятся эти документы.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     Срок подготовки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направлении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ответа на межведомственные запросы в соответствии с частью 3 статьи 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Федерального закона № 210-ФЗ не может превышать пять рабочих дней со дня поступления межведомственного запроса.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     Результатом административной процедуры является установление достоверности документов (их копий или сведений, содержащихся в них), либо уведомление об отказе, направленные должностному лицу,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ответственному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направление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межведомственных запросов.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    Целями использования сведений являются установление достоверности представленных заявителем документов, а также принятие решений,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исключающих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нарушения законодательства и прав заявителя.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3.3.3. Должностное лицо, ответственное за направление межведомственных запросов: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получает запрашиваемые через систему межведомственного электронного взаимодействия документы (сведения), необходимые для предоставления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государственной услуги, либо уведомление об отказе при отсутствии документа и (или) информации.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устанавливаемые настоящим пунктом, выполняются в день получения сведений по межведомственным запросам.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документы (сведения), необходимые для предоставления государственной услуги, проект решения об отказе в приеме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3.3.4. Исполнение процедур, указанных в подпунктах 3.3.2, 3.3.3 настоящего Рег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3.4. Подготовка результата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3.4.1. Должностное лицо органа опеки и попечительства, ответственное за подготовку результата предоставления государственной услуги: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рассматривает сформированный комплект документов, необходимых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выявле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нии оснований для отказа в предоставлении государственной услуги, указанных в пункте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2.12.5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настоящего Регламента, подготавливает проект решения об отказе в предоставлении государственной услуги (по форме, указанной в приложении №4 к настоящему Регламенту);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отсутствия оснований для отказ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предоставлении государственной услуги, предусмотренных пунктом 2.12.5 настоящего Регламента, по итогам рассмотрения документов, необходимых для предоставления государственной услуги, подготавливает проект решения о предоставлении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направляет подготовленный проект решения об отказе в предоставлении государственной услуги или проект согласия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назначении ежемесячной выплаты на содержание ребенка в семье опекуна (попечителя) и приемной семье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согласование в установленном порядке. 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устанавливаемые настоящим подпунктом, осуществляются в день поступления ответов на межведомственные запросы.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проект решения об отказе в предоставлении государственной услуги или проект согласия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назначении ежемесячной выплаты на содержание ребенка в семье опекуна (попечителя) и приемной семье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предоставлении государственной услуги.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3.4.2. Согласование проектов результатов предоставления государственной услуги осуществляется руководителем органа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Подготовленные проекты результатов предоставления государственной услуги, имеющ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ие замечания, возвращаются на доработку лицу, ответственному за подготовку проектов результатов предоставления государственной услуги. После устранения замечаний проекты результатов предоставления государственной услуги повторно передаются на согласование.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Процедура, устанавливаемая настоящим подпунктом, осуществляется в день поступления на согласование и подписание.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согласование руководителем органа опеки и попечительства проектов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назначении ежемесячной выплаты на содержание ребенка в семье опекуна (попечителя) и приемной семье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или возвращение руководителем органа опеки и попечительства проектов результатов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государственной услуги на доработку лицу, ответственному за подготовку результата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3.4.3.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Согласованные проекты согласия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назначении ежемесячной выплаты на содержание ребенка в семье опекуна (попечителя) и приемной семье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направляется лицом либо проекта отказа в предоставлении государственной услуги, ответственным за подготовку проектов,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государственной услуги на подписание проектов результатов предоставления государственной услуги руководителю (лицу, исполняющим обязанности) исполнительного комитета муниципального района (городского округа) Республики Татарстан.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Процедура, устанавливаемая настоящим подпунктом, осуществляется в день поступления проектов документов на подписание.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подписанные руководителем (лицом, исполняющим обязанности) Исполнительного комитета муниципального района (городского округа) Республики Татарстан проекты решений.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3.4.4. Исполнение процедур, указанных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подпунктах 3.4.1, 3.4.2, 3.4.3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Выдача (направление) заявителю результата государственной услуги.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Основанием для начала выполнения административной процедуры является регистрация результата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государственной услуги в журнале исходящей корреспонденции органа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Решение о предоставление услуги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проект решения об отказе в предоставлении государственной услуги) или (проект согласия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назначении ежемесячной выплаты на содержание ребенка в семье опекуна (попечителя) и приемной семье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зависимости от способа получения результата, указанного Заявителем в запросе, в течение одного рабочего дня со дня их регистрации направляется работником орган опеки и попечительства Заявителю по электронной почте, указанной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запросе, или заказным письмом с уведомлением о вручении в случае, если электронная почта им в запросе не указана, либо выдается Заявителю лично, о чем уведомляется Заявитель в день регистрации по контактному телефону.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3.5.1. Должностное лицо, ответственное за выдачу (направление) документов: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извещает заявителя (его представителя) способом, указанным в запросе, о результате предоставления государственной услуги и о возможности получения результата предоставления государственной услуги в органе опеке и попечительства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МФЦ, Единый портал (при наличии технической возможности), Республиканский портал.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наличии технической возможности процедуры, предусмотренные настоящим пунктом, осуществляются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1" w:firstLine="567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обеспечивает регистрацию и внесение сведений о результате предоставления государственной услуги в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Единую централизованную цифровую платформу в социальной сфере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органа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нения административных процедур являются: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3.5.2. Порядок выдачи (направления) результата предоставления государственной услуги: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3.5.3. При обращении заявителя за результатом государственной услуги в МФЦ, работник МФЦ выдает заявителю результат государств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информации или направления экземпляра электронного документа по электронной почте в адрес заявителя. При записи на съемный носитель информации или направлении экземпляра электронного документа, на основе которого составлен экземпляр электронного документа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бумажном носителе,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устанавливаемые настоящим подпунктом, выполняются в порядке очередности, в день прибытия заявителя в сроки, установленные регламентом работы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фиксация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факта выдачи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государственной информационной системе Республики Татарстан «Автоматизированная информационная система многофункциональных центров предоставления государственных и муниципальных услуг», результат предоставления государственной услуги, выданный заявителю.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3.5.4. При обращении заявителя за результатом государственной услуги через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Единый портал 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подписанный усиленной квалифицированной электронной подписью уполномоченного должностного лица органа опеки и попечительства.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устанавливаемые настоящим подпунктом,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орган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направление (предоставление) с использованием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Единого портала (при наличии технической возможности),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3.5.5. При обращении заявителя за результатом государственной услуги в орган опеки и попечительства, должностное лицо, ответствен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ное за выдачу (направление) документов, выдает заявителю результат государственной услуги.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мный носитель информации или направления экземпляра электронного документа, подписанного электронной подписью уполномоченного должностного лица, в адрес электронной почты, указанному в запросе, либо в бумажной форме в соответствии с заявлением заявителя.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устанавливаемые настоящим подпунктом, осуществляются в порядке очередности, в день прибытия заявителя в соответствии с Правилами внутреннего трудового распорядка органа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Результатом выполнения административных процедур являются: фиксация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факта выдачи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Единой государственной информационной системе социального обеспечения, выдача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(в том числе отказ в предоставлении государственной услуги).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3.6. Исправление технических ошибок.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3.6.1. В случае обнаружения технической ошибки в документе, являющемся результатом государственной услуги, заявитель направляет в орган опеки и попечительства: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запрос об исправлении технической ошибки (приложение № 5 к настоящему Регламенту);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документ, выданный заявителю как результат государственной услуги, в котором содержится техническая ошибка;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Запрос об исправлении 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почтовым отправлением (в том числе с использованием электронной почты), либо через Единый портал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Республиканский портал или МФЦ.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3.6.2. Должностное лицо, ответственное за прием документов, осуществляет прием запроса об исправлении технической ошибки, регистрирует запрос с приложенными документами и передает их должностному лицу, ответственному за обработку документов.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Административная процедура, устанавливаемая настоящим пунктом, осуществляется в день поступления запроса.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Результатами выполнения административных процедур являются: принятое и зарегистрированный запрос, направленное на рассмотрение должностному лицу, ответственному за обработку документов.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3.6.3.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Должностное лицо, ответ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ственное за обработку документов, рассматривает документы и в целях внесения исправлений в документ, являющийся результатом предоставления государственной услуги, осуществляет процедуры подготовки документа, и выдает исправленный документ Заявителю (уполно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моченным представителем) лично  под роспись с изъятием у Заявителя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 предоставлении в орган опеки и попечительства оригинала документа, в котором содержится техническая ошибка.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Административная процедура выполняется в течение двух рабочих дней после обнаружения технической ошибки или со дня регистрации запроса от любого заинтересованного лица запрос о допущенной ошибке.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Результатами выполнения административных процедур являются: выданный (направленный) Заявителю документ.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val="en-US"/>
        </w:rPr>
        <w:t xml:space="preserve">Способы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4.1. Информирование заявителя об изменении статуса рассмотрения запроса о предоставлении государственной услуги осуществляется следующими способами: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размещение информации в личном кабинете заявителя на Едином портале государственных и муниципальных услуг (функций) (при наличии технической возможности) и/или на Республиканском портале государственных и муниципальных услуг Республики Татарстан;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направление уведомлений на адрес электронной почты заявителя, указанный при подаче запроса;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отображение текущего статуса рассмотрения запроса в системе межведомственного электронного взаимодействия (СМЭВ), используемой органом, предоставляющим государственную услугу;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выдача уведомлений о статусе рассмотрения в МФЦ в случае обращения за государственной услугой через МФЦ;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выдача или направление уведомлений на бумажном носителе по адресу, указанному заявителем, либо вручение лично при непосредственном обращении в орган опеки и попечительства.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4.2. Оповещение заявителя о наиболее значимых этапах рассмотрения запроса осуществляется в следующих случаях: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поступлении и регистрации запроса и документов, необходимых для предоставления государственной услуги;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изменении статуса запроса (например, переход из статуса «Проверка документов» в статус «На рассмотрении», «Подготовка решения», «Результат готов к выдаче», «Отказ в предоставлении услуги» и другие аналогичные);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необходимости предоставления дополнительных документов или сведений (с указанием причин и сроков предоставления);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завершении рассмотрения запроса, а также при подготовке, оформлении и направлении (выдаче) результата предоставления государственной услуги;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исправлении технических ошибок по запросу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4.3. Содержание уведомления, направляемого заявителю, включает: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уникальный идентификационный номер запроса (регистрационный номер);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актуальный статус рассмотрения запроса;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дату изменения статуса;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краткое описание предпринятых действий или необходимой обратной связи (при необходимости);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способ и место получения результата услуги (при наступлении соответствующего этапа).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4.4. Периодичность информирования заявителя: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каждом изменении статуса запроса;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 реже одного раза в течение срока оказания государственной услуги — по запросу заявителя либо при наступлении обстоятельств, влияющих на сроки или порядок предоставления услуги.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4.5. Заявитель вправе получить информацию о ходе предоставления государственной услуги в любое время следующими способами: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обращении лично в орган, предоставляющий государственную услугу, или в МФЦ;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через личный кабинет на Едином портале (при наличии технической возможности);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обращения по телефону, электронной почте, другим официально 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опубликованным каналам связи органа, предоставляющего услугу;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направлении письменного обращения.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4.6. Указанная информация предоставляется заявителю бесплатно и без ограничения количества обращений.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4.7. Данный раздел подлежит обязательному опубликованию на официальном сайте органа, предоставляющего государственную услугу, а также на государственных порталах (ЕПГУ и Республиканский портал Республики Татарстан).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59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59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9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выдаче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9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9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Рекомендуемая форма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6"/>
        </w:rPr>
      </w:r>
      <w:r/>
    </w:p>
    <w:p>
      <w:pPr>
        <w:pStyle w:val="86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b/>
          <w:bCs/>
        </w:rPr>
      </w:r>
      <w:bookmarkStart w:id="2" w:name="P401"/>
      <w:r>
        <w:rPr>
          <w:b/>
          <w:bCs/>
        </w:rPr>
      </w:r>
      <w:bookmarkEnd w:id="2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Запрос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Прошу разрешения прекратить право собственности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 _______________,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собственником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__________  которого на основании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свидетельства о государственной регистрации права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серия   _____________________,  является  мой (мои) несовершеннолетни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ребенок (дети) 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с одновременным оформлением по адресу: 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определением на имя 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доли _______________________________________________________________.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Имущественные и жилищные права ребенка (детей) не ущемляются.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ind w:left="-14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                                                 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(дата)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(подпись)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59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859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9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выдаче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9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59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Рекомендуемая форма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несовершеннолетнего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tabs>
          <w:tab w:val="left" w:pos="612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6"/>
        </w:rPr>
      </w:r>
      <w:r/>
    </w:p>
    <w:p>
      <w:pPr>
        <w:pStyle w:val="86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Запрос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6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Прошу разрешения прекратить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аво собственности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______________________,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собственником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 которого на основании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детельства о государственной регистрации права от _____________________,серия _______________________________, являюсь, с одновременным оформлением___________________________ по адресу: ____________________________________и определением в нем _______ доли.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Мои права не ущемляются.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                                                 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(дата)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(подпись)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859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9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выдаче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9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9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Рекомендуемая форма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6"/>
        </w:rPr>
      </w:r>
      <w:r/>
    </w:p>
    <w:p>
      <w:pPr>
        <w:pStyle w:val="86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b/>
          <w:bCs/>
        </w:rPr>
      </w:r>
      <w:bookmarkStart w:id="3" w:name="P515"/>
      <w:r>
        <w:rPr>
          <w:b/>
          <w:bCs/>
        </w:rPr>
      </w:r>
      <w:bookmarkEnd w:id="3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Запрос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 исправлении технической ошибки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Я,_____________________________________________________________,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(фамилия, имя, отчество заявителя указывается полностью)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проживающи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по адресу 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(почтовый адрес заявителя с указанием индекса, телефон, электронный адрес)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документа, удостоверяющего личность заявителя, его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серия, номер, дата выдачи,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наименование органа, выдавшего документ)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исправить техническую ошибку 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допущенную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принятию решения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решения и номер решения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Согласе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на) на получение информации об исправлении технической ошибки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(письменно, по телефону, смс-сообщением, электронной почтой)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"__"__________20__ г.   _______________________ 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(подпись заявителя) (расшифровка подписи)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shd w:val="nil" w:color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Приложение №4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9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244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046" w:right="0" w:hanging="6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примерная форма</w:t>
      </w:r>
      <w:r/>
    </w:p>
    <w:p>
      <w:pPr>
        <w:ind w:left="5244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об отказе в приеме документов, необходимых для предоставления государственной услуги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____________________________________________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(наименование уполномоченного органа)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Кому_______________________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Контактные данные_____________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spacing w:before="278" w:after="278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от___________20 №___________</w:t>
      </w:r>
      <w:r/>
    </w:p>
    <w:p>
      <w:pPr>
        <w:ind w:left="0" w:right="0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результатам рассмотрения запроса 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</w:rPr>
        <w:tab/>
        <w:tab/>
        <w:tab/>
        <w:tab/>
        <w:tab/>
        <w:t xml:space="preserve">ФИО заявителя (последнее при наличии)</w:t>
      </w:r>
      <w:r/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от______________№____________________________№______________ и приложенных к нему документов принято решение от_________№_____ отказать в приеме документов, необходимых для предоставления услуги, по следующим основаниям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а) отсутствие документов, указанных в пункте 2.11.1 настоящего Регламента;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в) некорректное заполнение обязательных полей в форме заявления о предоставлении услуги на Едином портале (при наличии технической возможности), Республиканском портале (недостоверное, неправильное либо неполное заполнение);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д) представленные документы имеют подчистки и исправления текста, которые не заверены в порядке, установленном законодательством Российской Федерации, Республики Татарстан;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е) представленные документы содержат повреждения, наличие которых позволяет в полном объеме использовать информацию и сведения, содержащиеся в документах, для предоставления услуги;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ж) представление документов, несоответствующих по форме или содержанию требованиям законодательства;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з) представленные электронные образцы документов не позволяют в полном объеме прочитать текст документа и (или) распознать реквизиты документа;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и) представленные документы или сведения утратили силу на момент обращения за услугой.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______________________________________________________________________________________________________.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283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283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283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</w:t>
      </w:r>
      <w:r/>
    </w:p>
    <w:p>
      <w:pPr>
        <w:ind w:left="0" w:right="0" w:firstLine="0"/>
        <w:jc w:val="right"/>
        <w:spacing w:after="0" w:line="57" w:lineRule="atLeast"/>
        <w:rPr>
          <w:rFonts w:ascii="Arial" w:hAnsi="Arial" w:eastAsia="Arial" w:cs="Arial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подпись</w:t>
      </w:r>
      <w:r>
        <w:rPr>
          <w:rFonts w:ascii="Arial" w:hAnsi="Arial" w:eastAsia="Arial" w:cs="Arial"/>
          <w:color w:val="000000"/>
          <w:sz w:val="24"/>
        </w:rPr>
        <w:t xml:space="preserve">)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shd w:val="nil" w:color="0000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432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4320" w:right="0" w:firstLine="720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№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ind w:left="5244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244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примерная форма</w:t>
      </w:r>
      <w:r/>
    </w:p>
    <w:p>
      <w:pPr>
        <w:ind w:left="5244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об отказе в предоставлении государственной услуги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____________________________________________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(наименование уполномоченного органа)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Кому_________________________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Контактные данные_____________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от___________20 №___________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результатам рассмотрения запроса ____________________________________________________________________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ФИО заявителя (последнее при наличии)</w:t>
      </w:r>
      <w:r/>
    </w:p>
    <w:p>
      <w:pPr>
        <w:ind w:left="0" w:right="0" w:firstLine="709"/>
        <w:jc w:val="both"/>
        <w:spacing w:after="0" w:line="57" w:lineRule="atLeast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от______________№______________ и приложенных к нему документов принято решение от_________№_____ отказать в предоставлении государственной услуги, необходимых для предоставления услуги, по следующим основаниям: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наличие противоречивых сведений в запросе и приложенных к нему документах;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 несоответствие Заявителя кругу лиц, имеющих право на подачу запроса;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 запрос подан лицом, не имеющих полномочий представлять интересы Заявителя;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выявление при рассмотрении документов, представленных заявителем, обстоятельств, свидетельствующих о нарушении прав и законных интересов несовершеннолетнего.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5) отзыв запроса по инициативе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line="57" w:lineRule="atLeast"/>
        <w:shd w:val="clear" w:color="ffffff" w:fill="ffffff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</w:t>
      </w:r>
      <w:r/>
    </w:p>
    <w:p>
      <w:pPr>
        <w:ind w:left="648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подпись</w:t>
      </w:r>
      <w:r>
        <w:rPr>
          <w:rFonts w:ascii="Arial" w:hAnsi="Arial" w:eastAsia="Arial" w:cs="Arial"/>
          <w:color w:val="000000"/>
          <w:sz w:val="24"/>
        </w:rPr>
        <w:t xml:space="preserve">)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Приложение №6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9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040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примерная форма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 предоставлении государственной услуги «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Выдача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»</w:t>
      </w:r>
      <w:r/>
    </w:p>
    <w:p>
      <w:pPr>
        <w:ind w:left="0" w:right="0" w:firstLine="0"/>
        <w:spacing w:before="278" w:after="278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от___________20 №___________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результатам рассмотрения запроса ____________________________________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ФИО заявителя (последнее при наличии)</w:t>
      </w:r>
      <w:r/>
    </w:p>
    <w:p>
      <w:pPr>
        <w:ind w:left="0" w:right="0" w:firstLine="0"/>
        <w:jc w:val="both"/>
        <w:spacing w:before="278" w:after="278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от______________№______________ и приложенных к нему документов, на основании Гражданского кодекса Российской Федерации, Семейного кодекса Российской Федерации, принято решение от_________№_____ предоставить государственную услугу по выдаче предварительног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 разрешения на отказ от преимущественного права покупки от имени несовершеннолетнего(них).</w:t>
      </w:r>
      <w:r/>
    </w:p>
    <w:p>
      <w:pPr>
        <w:ind w:left="0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</w:t>
      </w:r>
      <w:r/>
    </w:p>
    <w:p>
      <w:pPr>
        <w:ind w:left="720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(подпись)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Приложение №7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9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выдаче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669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76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(рекомендуемая форма для несовершеннолетних)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10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Руководителю Исполнительного комитета муниципального района (городского округа)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(ФИО - последнее при наличии))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ИНН_________________________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ОГРН________________________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от______________________________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0"/>
          <w:szCs w:val="20"/>
          <w:highlight w:val="none"/>
        </w:rPr>
        <w:t xml:space="preserve">(ФИО – последнее при наличии)</w:t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дата рождения_______________________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проживающего по адресу: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паспортные данные: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серия_____________,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№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____________выдан____________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конт.тел.________________________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center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Согласие на обработку персональных данных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Я, ______________________________________________________________________,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(документ, удостоверяющий личность родителя (законного представителя) субъекта персональных данных)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соответствии со статьей 9 Федерального закона от 27 июля 2006 года № 152-ФЗ «О персональных данных» даю свое согласие 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(орган опеки и попечительства муниципального района (городского округа) Республики Татарстан)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обработку (передачу, предоставление, распространение) персональных данных ______________________________________________________________________,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center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(фамилия, имя, отчество (последнее-при наличии) субъекта персональных данных)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 целью 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несовершеннолетнего(них).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Перечень обрабатываемых персональных данных: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1) персональные данные: фамилия, имя, отчество (при наличии) ребенка, контактный телефон, адрес электронной почты, ____________________________;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2) специальные категории персональных данных: ______________________;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3) биометрические персональные данные: _____________________________.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 ___________ ____________</w:t>
      </w:r>
      <w:r/>
    </w:p>
    <w:p>
      <w:pPr>
        <w:ind w:left="85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(ФИО. (последнее – при наличии) (подпись) (дата)</w:t>
      </w:r>
      <w:r/>
    </w:p>
    <w:p>
      <w:pPr>
        <w:ind w:left="85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родителя (законного представителя)</w:t>
      </w:r>
      <w:r/>
    </w:p>
    <w:p>
      <w:pPr>
        <w:ind w:left="85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субъекта персональных данных)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Приложение №8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9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выдаче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669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576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right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(рекомендуемая форма для несовершеннолетних)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510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Руководителю Исполнительного комитета муниципального района (городского округа)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(ФИО - последнее при наличии))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ИНН_________________________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ОГРН________________________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от______________________________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0"/>
          <w:szCs w:val="20"/>
          <w:highlight w:val="none"/>
        </w:rPr>
        <w:t xml:space="preserve">(ФИО – последнее при наличии)</w:t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дата рождения_______________________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проживающего по адресу: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паспортные данные: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серия_____________,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№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____________выдан____________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конт.тел.________________________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20"/>
        <w:jc w:val="center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Согласие на обработку персональных данных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67"/>
        <w:jc w:val="center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Я, ________________________________________________________________,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67"/>
        <w:jc w:val="center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(фамилия, имя, отчество (последнее-при наличии) субъекта персональных данных)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67"/>
        <w:jc w:val="center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67"/>
        <w:jc w:val="center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(документ, удостоверяющий личность субъекта персональных данных)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67"/>
        <w:jc w:val="center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67"/>
        <w:jc w:val="center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соответствии со статьей 9 Федерального закона от 27 июля 2006 года № 152-ФЗ «О персональных данных» даю свое согласие_________________________________________________________________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(орган опеки и попечительства муниципального района (городского округа) Республики Татарстан)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 обработку (передачу, предоставление, распространение) личных персональных данных, с целью 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несовершеннолетнего(них).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Перечень обрабатываемых персональных данных: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a0a0a"/>
          <w:sz w:val="24"/>
          <w:szCs w:val="24"/>
        </w:rPr>
        <w:t xml:space="preserve">1) персональные данные: ___________________________________________;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a0a0a"/>
          <w:sz w:val="24"/>
          <w:szCs w:val="24"/>
        </w:rPr>
        <w:t xml:space="preserve">2) специальные категории персональных данных:____________________;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a0a0a"/>
          <w:sz w:val="24"/>
          <w:szCs w:val="24"/>
        </w:rPr>
        <w:t xml:space="preserve">3) биометрические персональные данные: отсутствуют__________________.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 ___________ ____________</w:t>
      </w:r>
      <w:r/>
    </w:p>
    <w:p>
      <w:pPr>
        <w:ind w:left="1843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(ФИО (последнее – при наличии) (подпись) (дата)</w:t>
      </w:r>
      <w:r/>
    </w:p>
    <w:p>
      <w:pPr>
        <w:ind w:left="1843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субъекта персональных данных)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10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Приложение №9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9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выдаче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10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360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(рекомендуемая форма для несовершеннолетних)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10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Руководителю Исполнительного комитета муниципального района (городского округа)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(ФИО - последнее при наличии))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ИНН_________________________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ОГРН________________________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от______________________________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0"/>
          <w:szCs w:val="20"/>
          <w:highlight w:val="none"/>
        </w:rPr>
        <w:t xml:space="preserve">(ФИО – последнее при наличии)</w:t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дата рождения_______________________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проживающего по адресу: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паспортные данные: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серия_____________,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№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____________выдан____________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конт.тел.________________________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center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Согласие на обработку персональных данных,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center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разрешённых для распространения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Я, ________________________________________________________________,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center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center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(документ, удостоверяющий личность родителя (законного представителя) субъекта персональных данных)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соответствии со статьей 10.1 Федерального закона от 27 июля 2006 года № 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№ 18 «Об утверждении тре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бований к содержанию согласия на обработку персональных данных, разрешенных субъектом персональных данных для распространения» даю свое согласие 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(орган опеки и попечительства муниципального района (городского округа) Республики Татарстан)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center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(фамилия, имя, отчество (последнее-при наличии) субъекта персональных данных)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том числе с использованием информационного ресурса __________________, с целью на обработки (передачи, предоставления, распространения) личных персональных данных, с целью предоставления государственной услуги по выдаче предварительного разрешения на отк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аз от преимущественного права покупки от имени несовершеннолетнего(них).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Перечень обрабатываемых персональных данных: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1) персональные данные: фамилия, имя, отчество (последнее – при наличии), ______________________________________________________________________;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2) специальные категории персональных данных: ________________;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3) биометрические персональные данные:_________________________.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Категории и перечень персональных данных, для обработки которых родитель (законный представитель) субъекта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х данных):________________________________________________________________________________________________________________________________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Условия, при которых полученные персональные данные могут передаваться оператору, осуществляющего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ем информационно-телекоммуникационных сетей, либо без передачи полученных персональных данных (заполняется по желанию субъекта персональных данных)______________________________________________________________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 ____________ 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(ФИО (последнее – при наличии) (подпись) (дата)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родителя (законного представителя субъекта персональных данных)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10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Приложение №10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9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выдаче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10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3600"/>
        <w:jc w:val="right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(рекомендуемая форма для несовершеннолетних)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510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Руководителю Исполнительного комитета муниципального района (городского округа)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(ФИО - последнее при наличии))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ИНН_________________________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ОГРН________________________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от______________________________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0"/>
          <w:szCs w:val="20"/>
          <w:highlight w:val="none"/>
        </w:rPr>
        <w:t xml:space="preserve">(ФИО – последнее при наличии)</w:t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дата рождения_______________________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проживающего по адресу: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паспортные данные: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серия_____________,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№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____________выдан____________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конт.тел.________________________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center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Согласие на обработку персональных данных,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center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разрешённых для распространения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Я, ________________________________________________________________,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center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(фамилия, имя, отчество (последнее-при наличии) субъекта персональных данных)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center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(документ, удостоверяющий личность субъекта персональных данных)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соответствии со статьей 10.1 Федерального закона от 27 июля 2006 года № 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№ 18 «Об утверждении тре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бований к содержанию согласия на обработку персональных данных, разрешенных субъектом персональных данных для распространения» даю свое согласие даю свое согласие 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(орган опеки и попечительства муниципального района (городского округа) Республики Татарстан)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том числе с использованием информационного ресурса __________________, на обработку (передачу, предоставления, распространения) личных персональных данных, с целью предоставления государственной услуги по выдаче предварительного разрешения на отказ от пр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еимущественного права покупки от имени несовершеннолетнего(них).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Перечень обрабатываемых персональных данных: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1) персональные данные: фамилия, имя, отчество (последнее – при наличии), ______________________________________________________________________;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2) специальные категории персональных данных: ______________________;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3) биометрические персональные данные: ____________________________.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ем информационно-телекоммуникационных сетей, либо без передачи полученных персональных данных (заполняется по желанию субъекта персональных данных):_______________________________________________________________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 __________ ____________</w:t>
      </w:r>
      <w:r/>
    </w:p>
    <w:p>
      <w:pPr>
        <w:ind w:left="0" w:right="0" w:firstLine="992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(ФИО (последнее – при наличии) (подпись) (дата)</w:t>
      </w:r>
      <w:r/>
    </w:p>
    <w:p>
      <w:pPr>
        <w:ind w:left="0" w:right="0" w:firstLine="992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субъекта персональных данных)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10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Приложение №11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9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выдаче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10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10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102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Руководителю Исполнительного комитета муниципального района (городского округа)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(ФИО - последнее при наличии))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ИНН_________________________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ОГРН________________________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от______________________________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(ФИО – последнее при наличии)</w:t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дата рождения_______________________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проживающего по адресу: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паспортные данные: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серия_____________,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№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____________выдан____________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конт.тел.________________________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Идентификаторы категорий (признаков) заявителей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Таблица 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5332"/>
        <w:gridCol w:w="4438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Отдельные категории (признаки) заявителей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Выдача предварительного разрешения на отказ от преимущественного права покупки от имени несовершеннолетнего(них)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Физическое лицо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hd w:val="nil" w:color="000000"/>
        <w:rPr>
          <w:rFonts w:eastAsia="SimSun"/>
          <w:sz w:val="28"/>
          <w:szCs w:val="28"/>
        </w:rPr>
      </w:pPr>
      <w:r>
        <w:rPr>
          <w:sz w:val="24"/>
          <w:szCs w:val="24"/>
          <w:highlight w:val="none"/>
        </w:rPr>
        <w:br w:type="page" w:clear="all"/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Таблица 2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1800" w:right="0" w:firstLine="0"/>
        <w:jc w:val="center"/>
        <w:spacing w:before="0" w:after="0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2957"/>
        <w:gridCol w:w="453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Перечень документов, необходимых для предоставления государственной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Способы подачи документов, требования к предоставлению документов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1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Исчерпывающий перечень документов, необходимых для предоставления государственной услуги, которые заявитель должен представить самостоятельно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Запрос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выдаче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предварительного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разрешения на прекращение права собственности на объект недвижимости, принадлежащий несовершеннолетнему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по форме согласно приложению №1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документ удостоверяющий личность заявителя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согласие на обработку персональных данных (приложение №7 к настоящему Регламенту);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согласие на обработку персональных данных, разрешённых для распространения (приложение №8 к настоящему Регламенту);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копия свидетельства о рождении лица (лиц), выданного компетентным органом иностранного государства, и копия его нотариально удостоверенного перевода на русский язык (при наличии)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</w:tr>
      <w:tr>
        <w:tblPrEx/>
        <w:trPr>
          <w:trHeight w:val="3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правоустанавливающие документы на недвижимое имущество,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если право на него не зарегистрировано в Едином государственном реестре недвижимости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</w:tbl>
    <w:p>
      <w:pPr>
        <w:shd w:val="nil" w:color="0000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№12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9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выдаче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10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Основания для отказа в приеме документов, необходимых для предоставления государственной услуги, за исключением случаев: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7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отсутствие документов, указанных в пункте 2.11.1 настоящего Регламента;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некорректное заполнение обязательных полей в форме заявления о предоставлении услуги на Едином портале (при наличии технической возможности), Республиканском портале (недостоверное, неправильное либо неполное заполнение);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представленные документы имеют подчистки и исправления текста, которые не заверены в порядке, установленном законодательством Российской Федерации, Республики Татарстан;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представленные документы содержат повреждения, наличие которых позволяет в полном объеме использовать информацию и сведения, содержащиеся в документах, для предоставления услуги;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представление документов, несоответствующих по форме или содержанию требованиям законодательства;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представленные электронные образцы документов не позволяют в полном объеме прочитать текст документа и (или) распознать реквизиты документа;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представленные документы или сведения утратили силу на момент обращения за услугой.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hd w:val="nil" w:color="00000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  <w:t xml:space="preserve">Приложение №13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pStyle w:val="859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выдаче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Основания для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отказа в предоставлении государственной услуги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7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наличие противоречивых сведений в запросе и приложенных к нему документах;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несоответствие Заявителя кругу лиц, имеющих право на подачу запроса;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запрос подан лицом, не имеющих полномочий представлять интересы Заявителя;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выявление при рассмотрении документов, представленных заявителем, обстоятельств, свидетельствующих о нарушении прав и законных интересов несовершеннолетнего.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line="57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отзыв запроса по инициативе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shd w:val="nil" w:color="00000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3528" w:right="0" w:firstLine="720"/>
        <w:jc w:val="center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Приложение (справочное)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59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76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680"/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Орган опеки и попечительства исполнительного комитета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муниципального района (городского округа)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Республики Татарстан</w:t>
      </w:r>
      <w:r/>
    </w:p>
    <w:tbl>
      <w:tblPr>
        <w:tblStyle w:val="7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85"/>
        <w:gridCol w:w="3055"/>
        <w:gridCol w:w="381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Должность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5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Телефон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1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Электронный адрес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органа опеки и попечительства,</w:t>
            </w:r>
            <w:r/>
          </w:p>
          <w:p>
            <w:pPr>
              <w:ind w:left="0" w:right="0" w:firstLine="0"/>
              <w:jc w:val="center"/>
              <w:spacing w:after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специалист</w:t>
            </w:r>
            <w:r/>
          </w:p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органа опеки и попечительства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муниципального района (городского округа) Республики Татарстан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муниципального района (городского округа) Республики Татарстан</w:t>
            </w:r>
            <w:r/>
          </w:p>
        </w:tc>
      </w:tr>
    </w:tbl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Руководитель исполнительного комитета (городского округа) Республики Татарстан</w:t>
      </w:r>
      <w:r/>
    </w:p>
    <w:tbl>
      <w:tblPr>
        <w:tblStyle w:val="7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85"/>
        <w:gridCol w:w="2584"/>
        <w:gridCol w:w="428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Должность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8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Телефон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86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Электронный адрес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Руководитель исполнительного комитета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8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</w:tr>
    </w:tbl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Глава муниципального района (городского округа)</w:t>
      </w:r>
      <w:r/>
    </w:p>
    <w:tbl>
      <w:tblPr>
        <w:tblStyle w:val="7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84"/>
        <w:gridCol w:w="2585"/>
        <w:gridCol w:w="428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Глава муниципального района (городского округа)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</w:tr>
    </w:tbl>
    <w:p>
      <w:pPr>
        <w:pStyle w:val="680"/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/>
    </w:p>
    <w:p>
      <w:r/>
      <w:r/>
    </w:p>
    <w:p>
      <w:pPr>
        <w:shd w:val="nil" w:color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02216626"/>
      <w:docPartObj>
        <w:docPartGallery w:val="Page Numbers (Top of Page)"/>
        <w:docPartUnique w:val="true"/>
      </w:docPartObj>
      <w:rPr/>
    </w:sdtPr>
    <w:sdtContent>
      <w:p>
        <w:pPr>
          <w:pStyle w:val="86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14</w:t>
        </w:r>
        <w:r>
          <w:fldChar w:fldCharType="end"/>
        </w:r>
        <w:r/>
      </w:p>
    </w:sdtContent>
  </w:sdt>
  <w:p>
    <w:pPr>
      <w:pStyle w:val="86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5"/>
    <w:next w:val="855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6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5"/>
    <w:next w:val="855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6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5"/>
    <w:next w:val="855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6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5"/>
    <w:next w:val="855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6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5"/>
    <w:next w:val="855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6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5"/>
    <w:next w:val="855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6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5"/>
    <w:next w:val="855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6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5"/>
    <w:next w:val="855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6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5"/>
    <w:next w:val="855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6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5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5"/>
    <w:next w:val="855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basedOn w:val="856"/>
    <w:link w:val="700"/>
    <w:uiPriority w:val="10"/>
    <w:rPr>
      <w:sz w:val="48"/>
      <w:szCs w:val="48"/>
    </w:rPr>
  </w:style>
  <w:style w:type="paragraph" w:styleId="702">
    <w:name w:val="Subtitle"/>
    <w:basedOn w:val="855"/>
    <w:next w:val="855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basedOn w:val="856"/>
    <w:link w:val="702"/>
    <w:uiPriority w:val="11"/>
    <w:rPr>
      <w:sz w:val="24"/>
      <w:szCs w:val="24"/>
    </w:rPr>
  </w:style>
  <w:style w:type="paragraph" w:styleId="704">
    <w:name w:val="Quote"/>
    <w:basedOn w:val="855"/>
    <w:next w:val="855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5"/>
    <w:next w:val="855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basedOn w:val="856"/>
    <w:link w:val="864"/>
    <w:uiPriority w:val="99"/>
  </w:style>
  <w:style w:type="character" w:styleId="709">
    <w:name w:val="Footer Char"/>
    <w:basedOn w:val="856"/>
    <w:link w:val="866"/>
    <w:uiPriority w:val="99"/>
  </w:style>
  <w:style w:type="paragraph" w:styleId="71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866"/>
    <w:uiPriority w:val="99"/>
  </w:style>
  <w:style w:type="table" w:styleId="712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6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6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paragraph" w:styleId="859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60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62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character" w:styleId="863">
    <w:name w:val="Hyperlink"/>
    <w:basedOn w:val="856"/>
    <w:uiPriority w:val="99"/>
    <w:unhideWhenUsed/>
    <w:rPr>
      <w:color w:val="0000ff" w:themeColor="hyperlink"/>
      <w:u w:val="single"/>
    </w:rPr>
  </w:style>
  <w:style w:type="paragraph" w:styleId="864">
    <w:name w:val="Header"/>
    <w:basedOn w:val="855"/>
    <w:link w:val="8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5" w:customStyle="1">
    <w:name w:val="Верхний колонтитул Знак"/>
    <w:basedOn w:val="856"/>
    <w:link w:val="864"/>
    <w:uiPriority w:val="99"/>
  </w:style>
  <w:style w:type="paragraph" w:styleId="866">
    <w:name w:val="Footer"/>
    <w:basedOn w:val="855"/>
    <w:link w:val="8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 w:customStyle="1">
    <w:name w:val="Нижний колонтитул Знак"/>
    <w:basedOn w:val="856"/>
    <w:link w:val="866"/>
    <w:uiPriority w:val="99"/>
  </w:style>
  <w:style w:type="paragraph" w:styleId="868" w:customStyle="1">
    <w:name w:val="Прижатый влево"/>
    <w:basedOn w:val="855"/>
    <w:next w:val="855"/>
    <w:uiPriority w:val="99"/>
    <w:pPr>
      <w:spacing w:after="0"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paragraph" w:styleId="869" w:customStyle="1">
    <w:name w:val="Без интервала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internet.garant.ru/#/document/10164504/entry/0" TargetMode="External"/><Relationship Id="rId12" Type="http://schemas.openxmlformats.org/officeDocument/2006/relationships/hyperlink" Target="https://internet.garant.ru/#/document/71145140/entry/0" TargetMode="External"/><Relationship Id="rId13" Type="http://schemas.openxmlformats.org/officeDocument/2006/relationships/hyperlink" Target="https://internet.garant.ru/#/document/73991658/entry/1212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9C9A2-708E-4463-911A-05472862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Ok-nach</dc:creator>
  <cp:revision>57</cp:revision>
  <dcterms:created xsi:type="dcterms:W3CDTF">2020-08-29T08:05:00Z</dcterms:created>
  <dcterms:modified xsi:type="dcterms:W3CDTF">2025-11-09T17:32:39Z</dcterms:modified>
</cp:coreProperties>
</file>