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600"/>
        <w:spacing w:after="0"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left="0" w:right="5529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10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0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0"/>
        <w:ind w:left="0" w:right="42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0"/>
        <w:numPr>
          <w:ilvl w:val="0"/>
          <w:numId w:val="10"/>
        </w:numPr>
        <w:ind w:left="0" w:right="426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10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Признать утратившим 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14.07.2022 № под-1224/22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10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0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И.Г.Хадиуллин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6600"/>
        <w:spacing w:after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-334010</wp:posOffset>
                </wp:positionV>
                <wp:extent cx="236220" cy="175260"/>
                <wp:effectExtent l="0" t="0" r="11430" b="15240"/>
                <wp:wrapNone/>
                <wp:docPr id="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67456;o:allowoverlap:true;o:allowincell:true;mso-position-horizontal-relative:text;margin-left:246.90pt;mso-position-horizontal:absolute;mso-position-vertical-relative:text;margin-top:-26.30pt;mso-position-vertical:absolute;width:18.60pt;height:13.8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6480" w:firstLine="14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480" w:firstLine="14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образования 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480" w:firstLine="14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науки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60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__________№___________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принятию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дееспособным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принятию решения об эмансипации несовершеннолетнего (объявление несовершеннолетнего полностью дееспособным)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государственная услуга).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Заявителями на предоставление государственной услуги являются: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есовершеннолетние граждане, достигшие возраста 16 лет,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наличии оснований, установленных законом (работа по трудовому договору, предпринимательская деятельность)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аконные представители несовершеннолетних, желающие инициировать процедуру эмансипации несовершеннолетнего.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1.3.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Требование профилирования: предоставление государственной услуги в соответствии с категорией (признаком) заявителя предусмотрено. Сведения о категории (признаке) заявителя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13"/>
        <w:contextualSpacing/>
        <w:jc w:val="center"/>
        <w:rPr>
          <w:b w:val="0"/>
          <w:highlight w:val="white"/>
          <w:lang w:val="ru-RU"/>
        </w:rPr>
      </w:pPr>
      <w:r>
        <w:rPr>
          <w:b w:val="0"/>
          <w:szCs w:val="28"/>
          <w:highlight w:val="white"/>
          <w:lang w:val="ru-RU"/>
        </w:rPr>
        <w:t xml:space="preserve"> </w:t>
      </w:r>
      <w:r>
        <w:rPr>
          <w:b w:val="0"/>
          <w:highlight w:val="white"/>
          <w:lang w:val="ru-RU"/>
        </w:rPr>
      </w:r>
      <w:r>
        <w:rPr>
          <w:b w:val="0"/>
          <w:highlight w:val="white"/>
          <w:lang w:val="ru-RU"/>
        </w:rPr>
      </w:r>
    </w:p>
    <w:p>
      <w:pPr>
        <w:pStyle w:val="913"/>
        <w:contextualSpacing/>
        <w:jc w:val="center"/>
        <w:rPr>
          <w:bCs/>
          <w:lang w:val="ru-RU"/>
        </w:rPr>
      </w:pPr>
      <w:r>
        <w:rPr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913"/>
        <w:contextualSpacing/>
        <w:jc w:val="center"/>
        <w:rPr>
          <w:bCs/>
          <w:highlight w:val="white"/>
          <w:lang w:val="ru-RU"/>
        </w:rPr>
      </w:pPr>
      <w:r>
        <w:rPr>
          <w:bCs/>
          <w:highlight w:val="white"/>
          <w:lang w:val="ru-RU"/>
        </w:rPr>
      </w:r>
      <w:r>
        <w:rPr>
          <w:bCs/>
          <w:highlight w:val="white"/>
          <w:lang w:val="ru-RU"/>
        </w:rPr>
      </w:r>
      <w:r>
        <w:rPr>
          <w:bCs/>
          <w:highlight w:val="white"/>
          <w:lang w:val="ru-RU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решения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дееспособным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месту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жительства несовершеннолетнего либо его законных представителей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Результатом предоставления государственной услуги является: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 предоставлении государственной услуги (приложение № 3 к настоящему Регламенту);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решение об отказе в предоставлении государственной услуги (Приложение № 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Регламенту);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 (Приложение №5 к Регламенту).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contextualSpacing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2.3.3.Результатом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наличии технической возможности) или на Республиканском портале, предоставляется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посредством МФЦ, предоставляется в 15-дневный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 Направление запроса и документа, являющегося результатом предоставления государственной услуги, способом указанным заявителем, в 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При личном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ановленные соглашением о взаимодействии между органом опеки и попечительством 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 При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sz w:val="28"/>
          <w:szCs w:val="28"/>
          <w:highlight w:val="green"/>
        </w:rPr>
      </w:r>
      <w:r>
        <w:rPr>
          <w:rFonts w:ascii="Times New Roman" w:hAnsi="Times New Roman" w:cs="Times New Roman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предоставляется государственная услуга.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2.8.2. В соответствии с </w:t>
      </w:r>
      <w:hyperlink r:id="rId12" w:tooltip="https://internet.garant.ru/#/document/10164504/entry/0" w:anchor="/document/10164504/entry/0" w:history="1">
        <w:r>
          <w:rPr>
            <w:rStyle w:val="88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допуск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сурдопереводчика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тифлосурдопереводчика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3" w:tooltip="https://internet.garant.ru/#/document/71145140/entry/0" w:anchor="/document/71145140/entry/0" w:history="1">
        <w:r>
          <w:rPr>
            <w:rStyle w:val="88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4" w:tooltip="https://internet.garant.ru/#/document/73991658/entry/121221" w:anchor="/document/73991658/entry/121221" w:history="1">
        <w:r>
          <w:rPr>
            <w:rStyle w:val="88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один раз в случае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необходимости получения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подать запрос, необходим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размещена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after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После прохождения процедуры регистрации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уя простую электронную подпись. После авторизации в личном кабинете на Едином портале 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2.10.1. В целях предоставления государственной услуги орган опеки и попечительства взаимодействует с Министерством образования и науки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2.10.2. Государственная услуга может быть осуществлена через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через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2.10.3.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2.10.4. При предоставлении государственной услуги используются: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 Особенности предоставления государственной услуги в многофункциональных центрах.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заявителей  на прием в МФЦ (далее - запись) осуществляется посредством Единого портала (при наличии технической возможности)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иканского портала, телефона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контакт-центра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 предварительной записи не препятствует приему заявителя в порядке очередности.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 предоставляется записи на 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номер телефона;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желаемую дату и время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нормативными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части 1 статьи 16 Федерального закона                                     от 27 июля 2010 года № 210-ФЗ «Об организации предоставления государственных и муниципальных услуг» (далее - Федеральный № 210-ФЗ), с использованием  Единого портала ((при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возможности), Республиканского портала;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2.10.6.3. При формировании запроса обеспечивается: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печати на бумажном носителе копии электронной формы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заполнение полей электронной фор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мы заявления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вернуться на любой из этапов заполнения электронной формы заявления без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потери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ранее введенной информации;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2.10.7.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2.10.8. Перечень информационных систем,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2.10.9.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2.10.10.возможность (невозм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trike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получения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услуги заявитель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должен представить самостоятельно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щие документы:</w:t>
      </w:r>
      <w:r>
        <w:rPr>
          <w:rFonts w:ascii="Times New Roman" w:hAnsi="Times New Roman" w:cs="Times New Roman"/>
          <w:strike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запрос: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документа на бумажном носителе (приложение №№1-3 к настоящему Регламенту)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contextualSpacing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электронной форме (заполняется посредством внесения соответствующих сведений в интерактивную форму), подп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исанное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документы, подтверждающие согласие, - письменное согласие родителей (-ля) несовершеннолетнего (приложение №</w:t>
      </w:r>
      <w:hyperlink r:id="rId15" w:tooltip="https://internet.garant.ru/#/document/411032782/entry/4000" w:history="1">
        <w:r>
          <w:rPr>
            <w:rStyle w:val="88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к Регламенту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документы, удостоверяющие личность несовершеннолетнего, достигшего возраста 16 лет, - паспорт или иной документ, в соответствии с законодательством Российской Федерации относящийся к документам, удостоверяющим личность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документы, удостоверяющие личность родителей(-ля) несовершеннолетнего, достигшего возраста 16 лет, - паспорт или иной документ, в соответствии с законодательством Российской Федерации относящийся к документам, удостоверяющим личность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документ о регистрации актов гражданского состояния на территории иностранного государства, выданный компетентным органом иностранного государства, и его нотариально удостоверенный перевод на русский язык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рождении ребенка;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смерти одного из родителей несовершеннолетнего;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6)документы, подтверждающие полномочие одного из родителей несовершеннолетнего, единолично выступать в интересах несовершеннолетнего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(один из):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вступившее в законную силу решение суда (определение, постановление), устанавливающее полномочия одного родителя единолично выступать в интересах несовершеннолетнего (один из):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достаточности согласия одного родителя ребенка;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признании родителя ребенка безвестно отсутствующим (умершим);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исключении сведений о родителе ребенка из актовой записи о рождении;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документ, свидетельствующий о невозможности установления места нахождения одного из родителей несовершеннолетнего (один из):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информация органа внутренних дел о заведении розыскного дела (невозможности установления места нахождения);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копия постановления судебного пристава-исполнителя о розыске должника;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нотариально удостоверенный документ, определяющий полномочия одного из родителей несовершеннолетнего на совершение определенных действий;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 документы, подтверждающие трудовую занятость заявителя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трудовой договор (договор, либо контракт и др.);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справка с места работы с указанием должности и размера оплаты труда.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9) согласие на обработку персональных данных (приложение №6 к настоящем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10) согласие на обработку персональных данных, разрешённых для распространения (приложение №7 к настоящему Регламенту).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полнительного комитета соответствующего муниципального района или города республиканского значения Республики Татарстан (далее - Исполнительного комитета муниципального образования).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(п.2 ст. 27 ГК РФ; ст. 10 и ст. 31 ФЗ №48-ФЗ «Об опеке и попечительстве»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Arial" w:hAnsi="Arial" w:eastAsia="Arial" w:cs="Arial"/>
          <w:sz w:val="26"/>
          <w:szCs w:val="26"/>
          <w:highlight w:val="none"/>
        </w:rPr>
      </w:r>
      <w:r>
        <w:rPr>
          <w:rFonts w:ascii="Arial" w:hAnsi="Arial" w:eastAsia="Arial" w:cs="Arial"/>
          <w:sz w:val="26"/>
          <w:szCs w:val="26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1.Для получения государственной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услуги заявитель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вправе представить по собственной инициативе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щие документы: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документы, подтверждающие государственную регистрацию актов гражданского состояния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свидетельство о рождении ребенка;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предоставлении согласия второго родителя);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2)документы о регистрации заявителя по месту жительства (пребывания)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(один из):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свидетельство о регистрации по месту жительства (либо свидетельство о регистрации по месту пребывания) на территории Республики Татарстан;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документы, подтверждающие отсутствие согласия одного из родителей несовершеннолетнего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вступившее в законную силу решение суда о лишении (ограничении) в родительских правах родителя несовершеннолетнего;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вступившее в законную силу решение суда о признании недееспособным (ограниченно дееспособным) родителя несовершеннолетнего;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документы, подтверждающие трудовую (предпринимательскую) деятельность, самозанятость заявителя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сведения о постановке несовершеннолетнего на учет в налоговом органе в качестве налогоплательщика налога на профессиональный доход (в том числе при указании в запросе о самозанятости несовершеннолетнего, осуществлении предпринимательской деятельности);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выписка из Единого государственного реестра индивидуальных предпринимателей о регистрации несовершеннолетнего в качестве индивидуального предпринимателя (при указании в заявлении об осуществлении несовершеннолетним предпринимательской деятельности);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документ, подтверждающие доходы несовершеннолетнего от трудовой (предпринимательской) деятельности, самозанятости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справка о доходах несовершеннолетнего (2-НДФЛ или 3-НДФЛ);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документы о наличии у несовершеннолетнего основного общего образования, - документ о получении несовершеннолетним основного общего образования.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5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подаче документов, предусмотренных пунктом 2.11.1 настоящего Регламента, посредством Единого портала (при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и постановлением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муниципальных услуг».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направлении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документа, удостоверяющего полномочия представителя заявителя (за исключением законных представителей физических лиц) посредством Единого портала (при наличии технической возможности), Республиканского портала, заявитель представляет электронные образы до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лично (лицом, действующим от имени заявителя, на основании доверенности);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сведения о соответствии фамильно-именной группы, даты рождения, пола и страхового номера индивидуального лицевого счёта (Пенсионный фонд Российской Федерации, Единая государственная информационная система социального обеспечения);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сведения о регистрационном учете по месту жительства и месту пребывания (Министерство внутренних дел Российской Федерации, электронный сервис «Сервисный концентратор МВД России»);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сведения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отсутствии у гражданина, выразившего желание стать опекуном, судимости за умышленное преступление против жизни и здоровья граждан, выдаваемые органами внутренних дел;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сведения об установленной пенсии, ее виде размере (Министерство обороны Российской Федерации, Единая система межведомственного электронного взаимодействия);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сведения о трудовой деятельности, трудовом стаже (за период после 1 января 2020 года (в уполномоченных органах);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сведения о государственной регистрации заключения брака (в отношении гражданина, выразившего желание стать опекуном (попечителем) и состоящем в браке) (в территориальные органы ЗАГС);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сведения о соответствии (несоответствии) жилых помещений (зданий) требованиям санитарного законодательства при оформлении опеки или попечительства (Федеральная служба по надзору в сфере защиты прав потребителей и благополучия человека);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медицинское заключение о состоянии здоровья по результатам медицинского освидетельствования гражданина, выразившего желание стать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опекуном (попечителем), выданное в порядке, установленном Министерством здравоохранения Российской Федерации (в территориальное учреждение здравоохранения);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выписка сведений об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инвалидности-государственное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учреждение – Фонд пенсионного и социального страхования Российской Федерации, федеральная государственная информационная система «Единая государственная информационная система социального обеспечения».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документы, указанные в пункте 2.11.1 настоящего Регламента, представл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некорректное заполнение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обязательных полей в форме интерактивного запроса в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2.12.2. Решение об отказе в приеме докум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ентов, необходимых для получения государственной услуги, с указанием причин отказа, оформляется в соответствии с формой, установленной в приложении № 4 к настоящему Регламенту, подписывается усиленной квалифицированной электронной подписью в установленном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по электронной почте орган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в электронной форме,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подписанную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2.12.3. Запрещается отказывать в предоставлении государственной услуги в случае, если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наличие противоречивых сведений в запросе и приложенных к нему документах;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несоответствие Заявителя кругу лиц, имеющих право на подачу запроса;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запрос подан лицом, не имеющих полномочий представлять интересы Заявителя;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отзыв запроса по инициативе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57" w:lineRule="atLeast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1)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5) исправление технической ошибки.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Отдела, МФЦ осуществляет профилирование заявителя на основе анкетирования и 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соответствии с Идентификатором категорий (признаков) заявителя, приведенном в Таблице 1 приложения № 12 к настоящему Регламенту, определяет категорию заявителя и необходимый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приведенном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Таблице 2 приложения №12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консультирование заявителя).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МФЦ – работник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орган опеки и попечительства – специалист уполномоченного подразделения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Консультирование заявителя выполняются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3.1.5.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вправе обратиться в орган опеки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попечительства по телефону и электронной почте, а также получить консультацию на Едином портале (при наличии технической возможности), Республиканском портале, сайте органа опеки и попечительства о порядке и сроках предоставления государственной услуги,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 Принятие и рассмотрение комплекта запроса и документов, представленных заявителем.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может подать запрос и прилагаемые к нему документы по почте, электронной почте, лично в орган опеки и попечительство, через Единый портал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Республиканский портал, в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3.2.1. 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настоящего Регламента.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готовое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отправке запрос и документы.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Работник МФЦ направляет запрос и документы,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принятых от заявителя в орган опеки и попечительства в электронной форме (в составе электронных дел) в течение сроков, предусмотренных регламентом работы МФЦ, но не позднее одного календарного дня со дня обращения заявителя в структурное подразделение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3.2.2. Прием документов для предоставления государственной услуги в электронной форме через Единый портал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Республиканский портал.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для подачи запроса в электронной форме выполняет следующие действия: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выполняет авторизацию;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открывает форму электронного запроса;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отправляет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заполненный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электронный запрос (нажимает соответствующую кнопку в форме электронного запроса);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Электронный запрос подписывается 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получает уведомление об отправке электронного запроса.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 Рассмотрение комплекта документов органом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3.2.3.1. Основанием начала выполнения административной процедуры является поступление запроса и иных документов, необходимых для предоставления государственной услуги в орган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3.2.3.2. Должностное лицо органа опеки и попечительства, ответственное за прием документов, в случае обращения заявителя (представителя заявителя) с запросом в орган опеки и попечительства: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определяет предмет обращения;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устанавливает личность заявителя;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проводит проверку полномочий лица, подающего документы;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проводит проверку соответствия документов требованиям, указанным в пункте 2.11.1 настоящего Регламента, проверку соответствия представленных документов установленным требованиям;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заполняет электронную форму запроса в автоматизированной информационной системе,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предоставлении документов, указанных в пункте 2.11.1 настоящего Регламента, на бумажном носителе, осуществляет сканирование представленных документов;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распечатывает запрос;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передает заявителю на проверку и подписание;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подписания сканирует подписанный запрос;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возвращает подписанный запрос и оригиналы бумажных документов заявителю.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ю, указанным в запросе способом, уведомление о поступлении запроса, содержащее входящий регистрационный номер запроса, дату получения запроса, перечень наименований файлов, представленных к нему документов, дату получения результата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3.2.3.3. Должностное лицо органа опеки и попечительства, ответственное за прием документов, после поступления документов на рассмотрение: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изучает поступившие электронные дела, в том числе приложенные заявителем (представителя заявителя) документы в электронной форме и электронные образы документов;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проверяет комплектность, читаемость электронных образов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наличии оснований, предусмотренных пунктом 2.11.1 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решения об отказе в приеме документов (приложение № 4 к настоящему Регламенту), необходимых для предоставления государственной услуги, с указанием причин отказа (в случае, если основания для отказа в приеме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документов, необход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содержат недостоверные и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3.2.3.4. Исполнение процедур, указанных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подпунктах 3.2.3.1, 3.2.3.2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3.2.3.5. Административные процедуры, устанавливаемые подпунктом 3.2.3.3 настоящего Регламента, выполняются в день поступления запроса и прилагаемых документов на рассмотрение.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принятые на рассмотрение запрос и комплект документов или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 Формирование и направление межведомственных запросов в органы (организации), участвующие в предоставлении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3.3.1. Основанием для направления запроса является зарегистрированный запрос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3.3.2. Должностное лицо, ответственное за нап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2.11.3 настоящего Регламента.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3.3.2.1.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межведомственн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запросам документы (их копии или сведения, содержащиеся в них), предусмотренные пунктом 3.3.2.1. настоящего Регламента, предоставления органами, в распоряжении которых находятся эти документы в электронной форме, в соответствии с постановлением Правительст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ва Российской Федерации от 23 июня 2021 г. №963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взаимодействия между исполнительными органами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государственной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власти субъектов Российской Федерации и (или)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соответствующего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межведомственного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3.3.2.2.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Межведомственное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информационное взаимодействие может осуществляться на бумажном носителе: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1) при невозможности осуществления межведомственного 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916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 при необходимости предоставления оригиналов документов на бумажном носителе, документы при направлении межведомственного запроса.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Если межведомственное взаимодействие осуществляется на бумажном носителе, документы (их копии или сведения, содержащиеся в них),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предусмотренные подпунктом 3.3.2.1. настоящего Регламента, предоставляются органами, в распоряжении которых находятся эти документы.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Срок подготовки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ответа на межведомственные запросы в соответствии с частью 3 статьи 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Федерального закона № 210-ФЗ не может превышать пять рабочих дней со дня поступления межведомственного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 Результатом административной процедуры является установление достоверности документов (их копий или сведений, содержащихся в них), либо уведомление об отказе, направленные должностному лицу,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ответственному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межведомственных запросов.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          Целями использования сведений являются установление достоверности представленных заявителем документов, а также принятие решений,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исключающих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нарушения законодательства и прав заявителя.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3.3.3. Должностное лицо, ответственное за направление межведомственных запросов: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получает запрашиваемые через систему межведомственного электронного взаимодействия документы (сведения), необходимые для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государственной услуги, либо уведомление об отказе при отсутствии документа и (или) информации.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получения сведений по межведомственным запросам.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3.3.4. Исполнение процедур, указанных в подпунктах 3.3.2, 3.3.3 настоящего Рег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 Подготовка результата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3.4.1. Должностное лицо органа опеки и попечительства, ответственное за подготовку результата предоставления государственной услуги: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рассматривает сформированный комплект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выявле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нии оснований для отказа в предоставлении государственной услуги, указанных в пункте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2.12.5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Регламента, подготавливает проект решения об отказе в предоставлении государственной услуги (по форме, указанной в приложении №5 к настоящему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отсутствия оснований для отказ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предоставлении государственной услуги, предусмотренных пунктом 2.12.5 настоящего Регламента, по итогам рассмотрения документов, необходимых для предоставления государственной услуги, подготавливает проект решения о предоставлении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направляет подготовленный проект решения об отказе в предоставлении государственной услуги или 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принятию решения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дееспособным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день поступления ответов на межведомственные запросы.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проект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принятию решения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дееспособным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3.4.2. Согласование проектов результатов предоставления государственной услуги осуществляется руководителем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Подготовленные проекты результатов предоставления государственной услуги, имеющ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ие замечания, возвращаются на доработку лицу, ответственному за подготовку проектов результатов предоставления государственной услуги. После устранения замечаний проекты результатов предоставления государственной услуги повторно передаются на согласование.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согласование руководителем органа опеки и попечительства проектов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принятию решения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дееспособным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возвращение руководителем органа опеки и попечительства проектов результатов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государственной услуги на доработку лицу, ответственному за подготовку результата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Согласованные проекты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принятию решения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дееспособным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либо проекта отказа в предоставлении государственной услуги, ответственным за подготовку проектов результатов предоставления государственной услуги направляются лицом, ответственным за подготовку проектов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результатов предоставления государственной услуги на подписание проектов результатов предоставления государственной услуги руководителю (лицу, исполняющим обязанности) исполнительного комитета муниципального района (городского округа) Республики Татарстан.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подписанные руководителем (лицом, исполняющим обязанности) Исполнительного комитета муниципального района (городского округа) Республики Татарстан проекты решений.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3.4.4. Исполнение процедур,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подпунктах 3.4.1, 3.4.2, 3.4.3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Выдача (направление) заявителю результата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Основанием для начала выполнения административной процедуры является регистрация результата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государственной услуги в журнале исходящей корреспонденции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Решение о предоставление услуги (проект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принятию решения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дееспособным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или решение об отказе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принятию решения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дееспособным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зависимости от способа получения результата, указанного Заявителем в запросе, в течение одного рабочего дня со дня их регистрации направляется работником орган опеки и попечительства Заявителю по электронной почте, указанной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запросе, или заказным письмом с уведомлением о вручении в случае, если электронная почта им в запросе не указана, либо выдается Заявителю лично, о чем уведомляется Заявитель в день регистрации по контактному телефону.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3.5.1. Должностное лицо, ответственное за выдачу (направление) документов: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извещает заявителя (его представителя) способом, указанным в запросе, о результате предоставления государственной услуги и о возможности получения результата предоставления государственной услуги в органе опеке и попечительства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МФЦ, Единый портал (при наличии технической возможности), Республиканский портал.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наличии технической возможности процедуры, предусмотренные настоящим пунктом, осуществляются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567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обеспечивает регистрацию и внесение сведений о результате предоставления государственной услуги в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Единую централизованную цифровую платформу в социальной сфере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3.5.2. Порядок выдачи (направления) результата предоставления государственной услуги: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3.5.3. При обращении заявителя за результатом государственной услуги в МФЦ, работник МФЦ выдает заявителю результат государств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государственной информационной системе Республики Татарстан «Автоматизированная информационная система многофункциональных центров предоставления государственных и муниципальных услуг», результат предоставления государственной услуги, выданный заявителю.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3.5.4. При обращении заявителя за результатом государственной услуги через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Единый портал 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подписанный усиленной квалифицированной электронной подписью уполномоченного должностного лица органа опеки и попечительства.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Результатами выполнения административных процедур являются: направление (предоставление) с использованием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Единого портала (при наличии технической возможности),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3.5.5. При обращении заявителя за результатом государственной услуги в орган опеки и попечительства, должностное лицо, ответствен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ное за выдачу (направление) документов, выдает заявителю результат государственной услуги.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мный носитель информации или направления экземпляра электронного документа, подписанного электронной подписью уполномоченного должностного лица, в адрес электронной почты, указанному в запросе, либо в бумажной форме в соответствии с запросом заявителя.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Административные процедуры, устанавливаемые настоящим подпунктом, осуществляются в порядке очередности, в день прибытия заявителя в соответствии с Правилами внутреннего трудового распорядка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Результатом выполнения административных процедур являются: фиксация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факта выдачи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Единой государственной информационной системе социального обеспечения, выдача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(в том числе отказ в предоставлении государственной услуги).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3.6. Исправление технических ошибок.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3.6.1.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запрос об исправлении технической ошибки (приложение № 6 к настоящему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Запрос об исправлении 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почтовым отправлением (в том числе с использованием электронной почты), либо через Единый портал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Республиканский портал или МФЦ.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3.6.2. Должностное лицо, ответственное за прием документов, осуществляет прием запроса об исправлении технической ошибки, регистрирует запрос с приложенными документами и передает их должностному лицу, ответственному за обработку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Административная процедура, устанавливаемая настоящим пунктом, осуществляется в день поступления запроса.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Результатами выполнения административных процедур являются: принятый и зарегистрированный запрос, направленный на рассмотрение должностному лицу, ответственному за обработку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3.6.3.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Должностное лицо, ответ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 подготовки документа, и выдает исправленный документ Заявителю (уполно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моченным представителем) лично 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 предоставлении в орган опеки и попечительства оригинала документа, в котором содержится техническая ошибка.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Административная процедура выполняются в течение двух рабочих дней после обнаружения технической ошибки или со дня регистрации запроса от любого заинтересованного лица запрос о допущенной ошибке.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Результатами выполнения административных процедур являются: выданный (направленный) Заявителю документ.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пособы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исправлении технических ошибок по заявлению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6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риняти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4248" w:firstLine="70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(примерная форма для несовершеннолетнего)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center"/>
        <w:rPr>
          <w:rFonts w:ascii="Times New Roman" w:hAnsi="Times New Roman" w:cs="Times New Roman"/>
          <w:b/>
          <w:bCs/>
        </w:rPr>
      </w:pPr>
      <w:r>
        <w:rPr>
          <w:rStyle w:val="899"/>
          <w:rFonts w:ascii="Times New Roman" w:hAnsi="Times New Roman" w:eastAsia="Times New Roman" w:cs="Times New Roman"/>
          <w:bCs/>
          <w:color w:val="auto"/>
        </w:rPr>
        <w:t xml:space="preserve">Запрос </w:t>
      </w:r>
      <w:r>
        <w:rPr>
          <w:rStyle w:val="899"/>
          <w:rFonts w:ascii="Times New Roman" w:hAnsi="Times New Roman" w:eastAsia="Times New Roman" w:cs="Times New Roman"/>
          <w:bCs/>
          <w:color w:val="auto"/>
        </w:rPr>
        <w:t xml:space="preserve">о признании эмансипированным несовершеннолетнего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Я,_______________________________________________________________________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(последнее – 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Гражданство_____________________________________________________________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Документ, удостоверяющий личность: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(серия, номер, когда и кем выдан)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место жительства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места жительства, подтвержденный регистрацией)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место пребывания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 соответствии со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"consultantplus://offline/ref=8B84ECA5CC255AA9827E16D1C1A980CF37347A2B81868F63C902AC1FFAC29594D99C9DBA313852AB67B43F1F3DC36EB36662BFCCF0776241nAw2I" \h </w:instrTex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статьей 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объявить меня полностью дееспособным(ой)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связи с _____________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(трудовая деятельность/осуществление предпринимательской деятельности — приложить подтверждающие документы).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Согласие отца (матери) ребенка 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969"/>
        <w:jc w:val="center"/>
        <w:spacing w:after="0" w:afterAutospacing="0" w:line="240" w:lineRule="auto"/>
        <w:tabs>
          <w:tab w:val="left" w:pos="77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(фамилия, имя, отчество (при наличии) полностью, дата рождения)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отсутствует 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(в случае, если заявление подается только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одним из родителей, указывается причина (родитель является единственным законным представителем ребенка; другой родитель уклоняется от воспитания и содержания ребенка – выбрать нужное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Подтверждаю достоверность представленной информации.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ab/>
        <w:t xml:space="preserve">Я предупрежден(а) об ответственности за представление недостоверных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или неполных сведений.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телефон: __________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Способ уведомления о принятом решении: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6350</wp:posOffset>
                </wp:positionV>
                <wp:extent cx="160020" cy="175260"/>
                <wp:effectExtent l="0" t="0" r="11430" b="15240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" cy="1752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8480;o:allowoverlap:true;o:allowincell:true;mso-position-horizontal-relative:text;margin-left:279.90pt;mso-position-horizontal:absolute;mso-position-vertical-relative:text;margin-top:0.50pt;mso-position-vertical:absolute;width:12.60pt;height:13.8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по номеру телефона____________________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266065</wp:posOffset>
                </wp:positionV>
                <wp:extent cx="160020" cy="175260"/>
                <wp:effectExtent l="0" t="0" r="11430" b="15240"/>
                <wp:wrapNone/>
                <wp:docPr id="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" cy="1752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70528;o:allowoverlap:true;o:allowincell:true;mso-position-horizontal-relative:text;margin-left:221.40pt;mso-position-horizontal:absolute;mso-position-vertical-relative:text;margin-top:20.95pt;mso-position-vertical:absolute;width:12.60pt;height:13.8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30480</wp:posOffset>
                </wp:positionV>
                <wp:extent cx="160020" cy="175260"/>
                <wp:effectExtent l="0" t="0" r="11430" b="15240"/>
                <wp:wrapNone/>
                <wp:docPr id="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" cy="1752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72576;o:allowoverlap:true;o:allowincell:true;mso-position-horizontal-relative:text;margin-left:270.00pt;mso-position-horizontal:absolute;mso-position-vertical-relative:text;margin-top:2.40pt;mso-position-vertical:absolute;width:12.60pt;height:13.8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по электронной почте_________________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в электронной форме, подписанной (заверенной) в соответствии с требованиями Федерального закона № 63-ФЗ, через Единый портал, Республиканский портал;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6985</wp:posOffset>
                </wp:positionV>
                <wp:extent cx="160020" cy="175260"/>
                <wp:effectExtent l="0" t="0" r="11430" b="15240"/>
                <wp:wrapNone/>
                <wp:docPr id="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" cy="1752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74624;o:allowoverlap:true;o:allowincell:true;mso-position-horizontal-relative:text;margin-left:88.20pt;mso-position-horizontal:absolute;mso-position-vertical-relative:text;margin-top:0.55pt;mso-position-vertical:absolute;width:12.60pt;height:13.8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5) через МФЦ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(подпись, дата)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(линия отреза)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Запрос_______________________________________________________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ind w:left="127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(последнее – при наличии) заявителя)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принят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ind w:left="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(должность и фамилия, имя, отчество должностного лица)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(дата регистрации)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  <w:t xml:space="preserve">Срок выдачи результата________________________________________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left="28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(максимальный срок выдачи результата)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 (подпись должностного лица)</w:t>
      </w: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7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риняти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4248" w:firstLine="70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(примерная форма для законных представителей)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center"/>
        <w:rPr>
          <w:rFonts w:ascii="Times New Roman" w:hAnsi="Times New Roman" w:cs="Times New Roman"/>
          <w:b/>
          <w:bCs/>
        </w:rPr>
      </w:pPr>
      <w:r>
        <w:rPr>
          <w:rStyle w:val="899"/>
          <w:rFonts w:ascii="Times New Roman" w:hAnsi="Times New Roman" w:eastAsia="Times New Roman" w:cs="Times New Roman"/>
          <w:bCs/>
          <w:color w:val="auto"/>
        </w:rPr>
        <w:t xml:space="preserve">Запрос </w:t>
      </w:r>
      <w:r>
        <w:rPr>
          <w:rStyle w:val="899"/>
          <w:rFonts w:ascii="Times New Roman" w:hAnsi="Times New Roman" w:eastAsia="Times New Roman" w:cs="Times New Roman"/>
          <w:bCs/>
          <w:color w:val="auto"/>
        </w:rPr>
        <w:t xml:space="preserve">о признании эмансипированным несовершеннолетнего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Я,_______________________________________________________________________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(последнее – 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Гражданство_____________________________________________________________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Документ, удостоверяющий личность: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(серия, номер, когда и кем выдан)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место жительства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места жительства, подтвержденный регистрацией)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место пребывания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 в  соответствии  со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"consultantplus://offline/ref=8B84ECA5CC255AA9827E16D1C1A980CF37347A2B81868F63C902AC1FFAC29594D99C9DBA313852AB67B43F1F3DC36EB36662BFCCF0776241nAw2I" \h </w:instrTex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статьей  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объявить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(фамилия, имя, отчество (последнее - при наличии)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несовершеннолетнего гражданина, представителем которого я являюсь, </w:t>
      </w:r>
      <w:r>
        <w:rPr>
          <w:rFonts w:ascii="Times New Roman" w:hAnsi="Times New Roman" w:cs="Times New Roman"/>
          <w:sz w:val="24"/>
          <w:szCs w:val="24"/>
        </w:rPr>
        <w:t xml:space="preserve">полностью дееспособным(ой).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Подтверждаю достоверность представленной информации.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ab/>
        <w:t xml:space="preserve">Я предупрежден(а) об ответственности за представление недостоверных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или неполных сведений.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телефон: __________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Способ уведомления о принятом решении: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6350</wp:posOffset>
                </wp:positionV>
                <wp:extent cx="160020" cy="175260"/>
                <wp:effectExtent l="0" t="0" r="11430" b="15240"/>
                <wp:wrapNone/>
                <wp:docPr id="6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" cy="1752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68480;o:allowoverlap:true;o:allowincell:true;mso-position-horizontal-relative:text;margin-left:279.90pt;mso-position-horizontal:absolute;mso-position-vertical-relative:text;margin-top:0.50pt;mso-position-vertical:absolute;width:12.60pt;height:13.8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по номеру телефона____________________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266065</wp:posOffset>
                </wp:positionV>
                <wp:extent cx="160020" cy="175260"/>
                <wp:effectExtent l="0" t="0" r="11430" b="15240"/>
                <wp:wrapNone/>
                <wp:docPr id="7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" cy="1752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70528;o:allowoverlap:true;o:allowincell:true;mso-position-horizontal-relative:text;margin-left:221.40pt;mso-position-horizontal:absolute;mso-position-vertical-relative:text;margin-top:20.95pt;mso-position-vertical:absolute;width:12.60pt;height:13.8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30480</wp:posOffset>
                </wp:positionV>
                <wp:extent cx="160020" cy="175260"/>
                <wp:effectExtent l="0" t="0" r="11430" b="15240"/>
                <wp:wrapNone/>
                <wp:docPr id="8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" cy="175259"/>
                        </a:xfrm>
                        <a:prstGeom prst="rect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72576;o:allowoverlap:true;o:allowincell:true;mso-position-horizontal-relative:text;margin-left:270.00pt;mso-position-horizontal:absolute;mso-position-vertical-relative:text;margin-top:2.40pt;mso-position-vertical:absolute;width:12.60pt;height:13.8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по электронной почте_________________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в электронной форме, подписанной (заверенной) в соответствии с требованиями Федерального закона № 63-ФЗ, через Единый портал, Республиканский портал;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6985</wp:posOffset>
                </wp:positionV>
                <wp:extent cx="160020" cy="175260"/>
                <wp:effectExtent l="0" t="0" r="11430" b="15240"/>
                <wp:wrapNone/>
                <wp:docPr id="9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" cy="1752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51674624;o:allowoverlap:true;o:allowincell:true;mso-position-horizontal-relative:text;margin-left:88.20pt;mso-position-horizontal:absolute;mso-position-vertical-relative:text;margin-top:0.55pt;mso-position-vertical:absolute;width:12.60pt;height:13.8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5) через МФЦ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(подпись, дата)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(линия отреза)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Запрос_______________________________________________________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ind w:left="127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(последнее – при наличии) заявителя)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принят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ind w:left="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(должность и фамилия, имя, отчество должностного лица)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(дата регистрации)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  <w:t xml:space="preserve">Срок выдачи результата________________________________________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left="28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(максимальный срок выдачи результата)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2"/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 (подпись должностного лица)</w:t>
      </w: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8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риняти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(примерная форма для законных представителей)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законных представителей </w:t>
      </w:r>
      <w:r>
        <w:rPr>
          <w:rStyle w:val="899"/>
          <w:rFonts w:ascii="Times New Roman" w:hAnsi="Times New Roman" w:eastAsia="Times New Roman" w:cs="Times New Roman"/>
          <w:bCs/>
          <w:color w:val="auto"/>
          <w:sz w:val="24"/>
          <w:szCs w:val="24"/>
        </w:rPr>
        <w:t xml:space="preserve">о признании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несовершеннолетнего полностью дееспособным (эмансипированным)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Я,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 (фамилия, имя, отчество (при наличии), число, месяц, год рождения)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документ, удостоверяющий личность 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(наименование, серия, номер, когда и кем выдан)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документ, подтверждающий полномочия законного представителя: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Место жительства: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(адрес места жительства, подтвержденный регистрацией)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являясь законным представителем несовершеннолетнего: 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(фамилия, имя, отчество (при наличии)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даю  свое  согласие  на  объявление  его  (ее) в соответствии со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instrText xml:space="preserve"> HYPERLINK "consultantplus://offline/ref=8B84ECA5CC255AA9827E16D1C1A980CF37347A2B81868F63C902AC1FFAC29594D99C9DBA313852AB67B43F1F3DC36EB36662BFCCF0776241nAw2I" \h </w:instrTex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статьей 27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fldChar w:fldCharType="end"/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Гражданского   кодекса  Российской  Федерации  полностью  дееспособным(ой) </w:t>
      </w:r>
      <w:r>
        <w:rPr>
          <w:rFonts w:ascii="Times New Roman" w:hAnsi="Times New Roman" w:cs="Times New Roman"/>
          <w:sz w:val="23"/>
          <w:szCs w:val="23"/>
        </w:rPr>
        <w:t xml:space="preserve">(эмансипированным(ой).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Подтверждаю достоверность представленной информации.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br/>
        <w:tab/>
        <w:t xml:space="preserve">Я предупрежден(а) об ответственности за представление недостоверных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или неполных сведений.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2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 (подпись, дата)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hd w:val="nil" w:color="auto"/>
      </w:pPr>
      <w:r>
        <w:br w:type="page" w:clear="all"/>
      </w:r>
      <w:r/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9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предоставлению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 решения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отказе в приеме документов в предоставлении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принятию решения об эмансипации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несовершеннолетнего (объявление несовершеннолетнего полностью дееспособным)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запроса от ________ № _______ и приложенных к нему документов, на основании Гражданского кодекса Российской Федерации, Федерального закона от 24.04.2008 № 48-ФЗ «Об опеке и попечительстве», П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остановления Правительства Российской Федерации от 18.05.2009 №423 «Об отдельных вопросах осуществления опеки и попечительства в отношении несовершеннолетних граждан», принято решение 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отказать в приеме документов, необходимых для предоставления услуги, по следующим основаниям: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документы, указанные в пункте 2.11.1 настоящего Регламента, представленные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некорректное заполнение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обязательных полей в форме интерактивного запроса в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(основания для отказа в приеме документов)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10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" o:spid="_x0000_s9" style="position:absolute;left:0;text-align:left;z-index:251663360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4384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26670" b="15240"/>
                <wp:wrapNone/>
                <wp:docPr id="1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00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электронной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2" type="#_x0000_t202" style="position:absolute;z-index:-251664384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00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электронной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органа, уполномоченного на принятие решения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highlight w:val="none"/>
          <w:lang w:eastAsia="ru-RU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416"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20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предоставлению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 решения об отказе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в предоставлении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принятию решения об эмансипации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несовершеннолетнего (объявление несовершеннолетнего полностью дееспособным)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заявления от ________ № _______ и приложенных к нему документов, на основании Гражданского кодекса Российской Федерации, Федерального закона от 24.04.2008 № 48-ФЗ «Об опеке и попечительстве», П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остановления Правительства Российской Федерации от 18.05.2009 №423 «Об отдельных вопросах осуществления опеки и попечительства в отношении несовершеннолетних граждан», принято решение 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отказать в приеме документов, необходимых для предоставления услуги, по следующим основаниям: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наличие противоречивых сведений в запросе и приложенных к нему документах;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несоответствие Заявителя кругу лиц, имеющих право на подачу запроса;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запрос подан лицом, не имеющих полномочий представлять интересы Заявителя;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отзыв запроса по инициативе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(основания для отказа в приеме документов)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12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1" o:spid="_x0000_s11" style="position:absolute;left:0;text-align:left;z-index:251663360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4384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26670" b="15240"/>
                <wp:wrapNone/>
                <wp:docPr id="1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00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электронной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202" type="#_x0000_t202" style="position:absolute;z-index:-251664384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00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электронной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органа, уполномоченного на принятие решения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1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предоставления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Запрос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 исправлении технической ошибки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 заявителя указывается полностью)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проживающи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по адресу 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(почтовый адрес заявителя с указанием индекса, телефон, электронный адрес)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(наименование документа, удостоверяющего личность заявителя, его серия, номер, дата выдачи,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прошу исправить техническую ошибку 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допущенную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________________________________от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____________ № 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  <w:t xml:space="preserve">(дата решения)   (номер решения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-на) на получение информации об исправлении технической ошибки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(письменно, по телефону, смс-сообщением, электронной почтой)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«___»__________ 20___ г.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9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87"/>
        <w:gridCol w:w="3908"/>
      </w:tblGrid>
      <w:tr>
        <w:tblPrEx/>
        <w:trPr/>
        <w:tc>
          <w:tcPr>
            <w:tcW w:w="62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(подпись заявителя)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2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506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center" w:pos="5457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 июля 2006 года                            № 152-ФЗ «О персональных данных» даю свое согласие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обработку (передачу, предоставление, распространение) персональных данных 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(фамилия, имя, отчество (последнее-при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наличии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)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целью предоставления государственной услуги по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специальные категории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биометрические персональные данные: _____________________________.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  ___________       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851"/>
        <w:jc w:val="both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оследнее – при наличии)                               (подпись)  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851"/>
        <w:jc w:val="both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851"/>
        <w:jc w:val="both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10"/>
        <w:ind w:left="5103" w:firstLine="561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3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4503" w:firstLine="556"/>
        <w:jc w:val="both"/>
        <w:spacing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(документ, удостоверяющий личность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 июля 2006 года                      № 152-ФЗ «О персональных данных» даю свое согласие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(орган опеки и попечительства муниципального района (городского 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руга) Республики Татарстан) на обработку (передачу, предоставление, распространение) личных персональных данных, с целью предоставления государственной услуги по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персональные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специальные категории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биометрические персональные данные: отсутствуют__________________.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 на обр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   ___________   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843"/>
        <w:jc w:val="both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(подпись) 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1843"/>
        <w:jc w:val="both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10"/>
        <w:ind w:left="5103" w:firstLine="561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ind w:left="4537" w:firstLine="708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4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cs="Times New Roman"/>
          <w:sz w:val="24"/>
          <w:szCs w:val="28"/>
          <w:highlight w:val="yellow"/>
        </w:rPr>
      </w:pPr>
      <w:r>
        <w:rPr>
          <w:rFonts w:ascii="Times New Roman" w:hAnsi="Times New Roman" w:cs="Times New Roman"/>
          <w:sz w:val="24"/>
          <w:szCs w:val="28"/>
          <w:highlight w:val="yellow"/>
        </w:rPr>
      </w:r>
      <w:r>
        <w:rPr>
          <w:rFonts w:ascii="Times New Roman" w:hAnsi="Times New Roman" w:cs="Times New Roman"/>
          <w:sz w:val="24"/>
          <w:szCs w:val="28"/>
          <w:highlight w:val="yellow"/>
        </w:rPr>
      </w:r>
      <w:r>
        <w:rPr>
          <w:rFonts w:ascii="Times New Roman" w:hAnsi="Times New Roman" w:cs="Times New Roman"/>
          <w:sz w:val="24"/>
          <w:szCs w:val="28"/>
          <w:highlight w:val="yellow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(рекомендуемая форма для несовершеннолетних)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разрешённых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для распространения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3600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персональных данных, с целью предоставления государственной услуги по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персональные данные: фамилия, имя, отчество (последнее – при наличии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______________________________________________________________________;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специальные категории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устанавливает условия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    ____________        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                        (подпись)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10"/>
        <w:ind w:left="5103" w:firstLine="561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5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выдан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разрешённых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для распространения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том числе с использованием информационного ресурса __________________, с целью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обработки (передачи, предоставления, распространения) личных персональных данных, с целью предоставления государственной услуги по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персональные данные: фамилия, имя, отчество (последнее – при наличии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______________________________________________________________________;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специальные категории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устанавливает условия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    ____________        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                        (подпись)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№11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к </w:t>
      </w:r>
      <w:r>
        <w:t xml:space="preserve"> </w:t>
      </w:r>
      <w:hyperlink r:id="rId26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ВЫПИСКА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 Реестра решений 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 Административному регламенту предоставления государственной услуги по принятию решения об эмансипации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несовершеннолетнего (объявление несовершеннолетнего полностью дееспособным)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48"/>
        <w:gridCol w:w="4820"/>
      </w:tblGrid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ФИО (последнее – при наличии) заявителя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Номер запроса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Дата запроса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Цель обращения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Номер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Дата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W w:w="5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Принятое 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Выписка сформирована___________________________________________________________________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(наименование уполномоченного органа на предоставление сведений из реестра)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(дата формирования выписки)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14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3" o:spid="_x0000_s13" style="position:absolute;left:0;text-align:left;z-index:251665408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6432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26670" b="15240"/>
                <wp:wrapNone/>
                <wp:docPr id="1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00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электронной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202" type="#_x0000_t202" style="position:absolute;z-index:-251666432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00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электронной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№12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 </w:t>
      </w:r>
      <w:hyperlink r:id="rId27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9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Выдача разрешения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 принятию решения об эмансипации несовершеннолетнего (объявление несовершеннолетнего полностью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дееспособным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Физическое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800" w:right="0" w:firstLine="0"/>
        <w:jc w:val="center"/>
        <w:spacing w:before="0" w:after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9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7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 принятию решения об эмансипации несовершеннолетнего (объявление несовершеннолетнего полностью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дееспособным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форме согласно приложению №1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документы, подтверждающие согласие, - письменное согласие родителей (-ля) несовершеннолетнего (приложение №</w:t>
            </w:r>
            <w:hyperlink r:id="rId28" w:tooltip="https://internet.garant.ru/#/document/411032782/entry/4000" w:history="1">
              <w:r>
                <w:rPr>
                  <w:rStyle w:val="887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к Регламенту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документы, удостоверяющие личность несовершеннолетнего, достигшего возраста 16 лет, - паспорт или иной документ, в соответствии с законодательством Российской Федерации относящийся к документам, удостоверяющим личность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документы, удостоверяющие личность родителей(-ля) несовершеннолетнего, достигшего возраста 16 лет, - паспорт или иной документ, в соответствии с законодательством Российской Федерации относящийся к документам, удостоверяющим личность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документ о регистрации актов гражданского состояния на территории иностранного государства, выданный компетентным органом иностранного государства, и его нотариально удостоверенный перевод на русский язык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 рождении ребенка;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 смерти одного из родителей несовершеннолетнего;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документы, подтверждающие полномочие одного из родителей несовершеннолетнего, единолично выступать в интересах несовершеннолетнего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(один из):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вступившее в законную силу решение суда (определение, постановление), устанавливающее полномочия одного родителя единолично выступать в интересах несовершеннолетнего (один из):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 достаточности согласия одного родителя ребенка;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 признании родителя ребенка безвестно отсутствующим (умершим);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 исключении сведений о родителе ребенка из актовой записи о рождении;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</w:tc>
      </w:tr>
      <w:tr>
        <w:tblPrEx/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документ, свидетельствующий о невозможности установления места нахождения одного из родителей несовершеннолетнего (один из):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информация органа внутренних дел о заведении розыскного дела (невозможности установления места нахождения);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копия постановления судебного пристава-исполнителя о розыске должника;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нотариально удостоверенный документ, определяющий полномочия одного из родителей несовершеннолетнего на совершение определенных действий;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документы, подтверждающие трудовую занятость заявителя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трудовой договор (договор, либо контракт и др.);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справка с места работы с указанием должности и размера оплаты труда.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согласие на обработку персональных данных (приложение №6 к настоящем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 Регламенту);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согласие на обработку персональных данных, разрешённых для распространения (приложение №7 к настоящему Регламенту).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</w:rPr>
              <w:t xml:space="preserve">вправе представить по собственной инициативе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документы, подтверждающие государственную регистрацию актов гражданского состояния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свидетельство о рождении ребенка;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свидетельство о смерти одного из родителей несовершеннолетнего (для исключения требования о предоставлении согласия второго родителя);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требования о предоставлении согласия второго родителя);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свидетельство о заключении или расторжении брака, подтверждающие перемену фамилии родителя в случае, если фамилия родителя не совпадает с его фамилией, указанной в свидетельстве о рождении ребенка;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 о регистрации заявителя по месту жительства (пребывания)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(один из):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свидетельство о регистрации по месту жительства (либо свидетельство о регистрации по месту пребывания) на территории Республики Татарстан;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документы, подтверждающие отсутствие согласия одного из родителей несовершеннолетнего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вступившее в законную силу решение суда о лишении (ограничении) в родительских правах родителя несовершеннолетнего;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вступившее в законную силу решение суда о признании недееспособным (ограниченно дееспособным) родителя несовершеннолетнего;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3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документы, подтверждающие трудовую (предпринимательскую) деятельность, самозанятость заявителя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сведения о постановке несовершеннолетнего на учет в налоговом органе в качестве налогоплательщика налога на профессиональный доход (в том числе при указании в запросе о самозанятости несовершеннолетнего, осуществлении предпринимательской деятельности);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о регистрации несовершеннолетнего в качестве индивидуального предпринимателя (при указании в заявлении об осуществлении несовершеннолетним предпринимательской деятельности);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документ, подтверждающие доходы несовершеннолетнего от трудовой (предпринимательской) деятельности, самозанятости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справка о доходах несовершеннолетнего (2-НДФЛ или 3-НДФЛ);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 о наличии у несовершеннолетнего основного общего образования, - документ о получении несовершеннолетним основного общего образования.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№13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 </w:t>
      </w:r>
      <w:hyperlink r:id="rId29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/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91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отсутствие документов, указанных в пункте 2.11.1 настоящего Регламента;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документы, указанные в пункте 2.11.1 настоящего Регламента, представленные Заявителем, утратили силу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некорректное заполнение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обязательных полей в форме интерактивного запроса в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входит предоставление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№14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30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 отказа в предоставлении государственной услуги</w:t>
      </w:r>
      <w:r/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91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противоречивых сведений в запросе и приложенных к нему документах;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несоответствие Заявителя кругу лиц, имеющих право на подачу запроса;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запрос подан лицом, не имеющих полномочий представлять интересы Заявителя;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57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отзыв запроса по инициативе Заявителя.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1416"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31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предоставлению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 решения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предоставлении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предоставлении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принятию решения об эмансипации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несовершеннолетнего (объявление несовершеннолетнего полностью дееспособным)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запроса от ________ № _______ и приложенных к нему документов, на основании Гражданского кодекса Российской Федерации, Федерального закона от 24.04.2008 № 48-ФЗ «Об опеке и попечительстве», П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остановления Правительства Российской Федерации от 18.05.2009 №423 «Об отдельных вопросах осуществления опеки и попечительства в отношении несовершеннолетних граждан», принято решение 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эмансипации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несовершеннолетнего (объявление несовершеннолетнего полностью дееспособным)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16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5" o:spid="_x0000_s15" style="position:absolute;left:0;text-align:left;z-index:251663360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4384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26670" b="15240"/>
                <wp:wrapNone/>
                <wp:docPr id="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00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электронной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202" type="#_x0000_t202" style="position:absolute;z-index:-251664384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00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электронной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органа, уполномоченного на принятие решения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(справочное)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32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1"/>
        <w:contextualSpacing/>
        <w:jc w:val="center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Реквизиты должностных лиц, ответственных за предоставление государственной услуги и осуществляющих текущий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ее предоставлением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 опеки и попечительства исполнительного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органа опеки и попечительства,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органа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исполнительного комитета (городского округа)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 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127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>
          <w:trHeight w:val="3745"/>
        </w:trPr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муниципального района (городского округа)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 CYR">
    <w:panose1 w:val="02020603050405020304"/>
  </w:font>
  <w:font w:name="Courier New">
    <w:panose1 w:val="020703090202050204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8536749"/>
      <w:rPr/>
    </w:sdtPr>
    <w:sdtContent>
      <w:p>
        <w:pPr>
          <w:pStyle w:val="88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8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733"/>
    <w:uiPriority w:val="10"/>
    <w:rPr>
      <w:sz w:val="48"/>
      <w:szCs w:val="48"/>
    </w:rPr>
  </w:style>
  <w:style w:type="character" w:styleId="705">
    <w:name w:val="Subtitle Char"/>
    <w:basedOn w:val="720"/>
    <w:link w:val="735"/>
    <w:uiPriority w:val="11"/>
    <w:rPr>
      <w:sz w:val="24"/>
      <w:szCs w:val="24"/>
    </w:rPr>
  </w:style>
  <w:style w:type="character" w:styleId="706">
    <w:name w:val="Quote Char"/>
    <w:link w:val="737"/>
    <w:uiPriority w:val="29"/>
    <w:rPr>
      <w:i/>
    </w:rPr>
  </w:style>
  <w:style w:type="character" w:styleId="707">
    <w:name w:val="Intense Quote Char"/>
    <w:link w:val="739"/>
    <w:uiPriority w:val="30"/>
    <w:rPr>
      <w:i/>
    </w:rPr>
  </w:style>
  <w:style w:type="character" w:styleId="708">
    <w:name w:val="Footnote Text Char"/>
    <w:link w:val="870"/>
    <w:uiPriority w:val="99"/>
    <w:rPr>
      <w:sz w:val="18"/>
    </w:rPr>
  </w:style>
  <w:style w:type="character" w:styleId="709">
    <w:name w:val="Endnote Text Char"/>
    <w:link w:val="873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11">
    <w:name w:val="Heading 1"/>
    <w:basedOn w:val="710"/>
    <w:next w:val="710"/>
    <w:link w:val="89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1 Char"/>
    <w:basedOn w:val="720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paragraph" w:styleId="733">
    <w:name w:val="Title"/>
    <w:basedOn w:val="710"/>
    <w:next w:val="710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20"/>
    <w:link w:val="733"/>
    <w:uiPriority w:val="10"/>
    <w:rPr>
      <w:sz w:val="48"/>
      <w:szCs w:val="48"/>
    </w:rPr>
  </w:style>
  <w:style w:type="paragraph" w:styleId="735">
    <w:name w:val="Subtitle"/>
    <w:basedOn w:val="710"/>
    <w:next w:val="710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20"/>
    <w:link w:val="735"/>
    <w:uiPriority w:val="11"/>
    <w:rPr>
      <w:sz w:val="24"/>
      <w:szCs w:val="24"/>
    </w:rPr>
  </w:style>
  <w:style w:type="paragraph" w:styleId="737">
    <w:name w:val="Quote"/>
    <w:basedOn w:val="710"/>
    <w:next w:val="710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10"/>
    <w:next w:val="710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20"/>
    <w:uiPriority w:val="99"/>
  </w:style>
  <w:style w:type="character" w:styleId="742" w:customStyle="1">
    <w:name w:val="Footer Char"/>
    <w:basedOn w:val="720"/>
    <w:uiPriority w:val="99"/>
  </w:style>
  <w:style w:type="paragraph" w:styleId="743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4" w:customStyle="1">
    <w:name w:val="Caption Char"/>
    <w:uiPriority w:val="99"/>
  </w:style>
  <w:style w:type="table" w:styleId="745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4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5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6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7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8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9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8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9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0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1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2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4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7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9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1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2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1" w:customStyle="1">
    <w:name w:val="Lined - Accent 2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Lined - Accent 3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Lined - Accent 4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Lined - Accent 5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5" w:customStyle="1">
    <w:name w:val="Lined - Accent 6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 &amp; Lined - Accent"/>
    <w:basedOn w:val="72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2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Bordered &amp; Lined - Accent 2"/>
    <w:basedOn w:val="72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Bordered &amp; Lined - Accent 3"/>
    <w:basedOn w:val="72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Bordered &amp; Lined - Accent 4"/>
    <w:basedOn w:val="72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Bordered &amp; Lined - Accent 5"/>
    <w:basedOn w:val="72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Bordered &amp; Lined - Accent 6"/>
    <w:basedOn w:val="72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5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6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7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8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9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0">
    <w:name w:val="footnote text"/>
    <w:basedOn w:val="710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20"/>
    <w:uiPriority w:val="99"/>
    <w:unhideWhenUsed/>
    <w:rPr>
      <w:vertAlign w:val="superscript"/>
    </w:rPr>
  </w:style>
  <w:style w:type="paragraph" w:styleId="873">
    <w:name w:val="endnote text"/>
    <w:basedOn w:val="710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20"/>
    <w:uiPriority w:val="99"/>
    <w:semiHidden/>
    <w:unhideWhenUsed/>
    <w:rPr>
      <w:vertAlign w:val="superscript"/>
    </w:rPr>
  </w:style>
  <w:style w:type="paragraph" w:styleId="876">
    <w:name w:val="toc 1"/>
    <w:basedOn w:val="710"/>
    <w:next w:val="710"/>
    <w:uiPriority w:val="39"/>
    <w:unhideWhenUsed/>
    <w:pPr>
      <w:spacing w:after="57"/>
    </w:pPr>
  </w:style>
  <w:style w:type="paragraph" w:styleId="877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8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9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0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1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2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3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4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10"/>
    <w:next w:val="710"/>
    <w:uiPriority w:val="99"/>
    <w:unhideWhenUsed/>
    <w:pPr>
      <w:spacing w:after="0"/>
    </w:pPr>
  </w:style>
  <w:style w:type="character" w:styleId="887">
    <w:name w:val="Hyperlink"/>
    <w:basedOn w:val="720"/>
    <w:uiPriority w:val="99"/>
    <w:unhideWhenUsed/>
    <w:qFormat/>
    <w:rPr>
      <w:color w:val="0563c1" w:themeColor="hyperlink"/>
      <w:u w:val="single"/>
    </w:rPr>
  </w:style>
  <w:style w:type="character" w:styleId="888">
    <w:name w:val="Strong"/>
    <w:basedOn w:val="720"/>
    <w:uiPriority w:val="22"/>
    <w:qFormat/>
    <w:rPr>
      <w:b/>
      <w:bCs/>
    </w:rPr>
  </w:style>
  <w:style w:type="paragraph" w:styleId="889">
    <w:name w:val="Header"/>
    <w:basedOn w:val="710"/>
    <w:link w:val="896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90">
    <w:name w:val="Footer"/>
    <w:basedOn w:val="710"/>
    <w:link w:val="897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891">
    <w:name w:val="Table Grid"/>
    <w:basedOn w:val="721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2">
    <w:name w:val="List Paragraph"/>
    <w:basedOn w:val="710"/>
    <w:uiPriority w:val="34"/>
    <w:qFormat/>
    <w:pPr>
      <w:contextualSpacing/>
      <w:ind w:left="720"/>
    </w:pPr>
  </w:style>
  <w:style w:type="character" w:styleId="893" w:customStyle="1">
    <w:name w:val="Заголовок 1 Знак"/>
    <w:basedOn w:val="720"/>
    <w:link w:val="711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94" w:customStyle="1">
    <w:name w:val="s_1"/>
    <w:basedOn w:val="710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 w:customStyle="1">
    <w:name w:val="ConsPlusNonformat"/>
    <w:qFormat/>
    <w:rPr>
      <w:rFonts w:ascii="Courier New" w:hAnsi="Courier New" w:eastAsia="Times New Roman" w:cs="Courier New"/>
    </w:rPr>
  </w:style>
  <w:style w:type="character" w:styleId="896" w:customStyle="1">
    <w:name w:val="Верхний колонтитул Знак"/>
    <w:basedOn w:val="720"/>
    <w:link w:val="889"/>
    <w:uiPriority w:val="99"/>
    <w:qFormat/>
  </w:style>
  <w:style w:type="character" w:styleId="897" w:customStyle="1">
    <w:name w:val="Нижний колонтитул Знак"/>
    <w:basedOn w:val="720"/>
    <w:link w:val="890"/>
    <w:uiPriority w:val="99"/>
    <w:qFormat/>
  </w:style>
  <w:style w:type="character" w:styleId="898" w:customStyle="1">
    <w:name w:val="Гипертекстовая ссылка"/>
    <w:basedOn w:val="899"/>
    <w:uiPriority w:val="99"/>
    <w:qFormat/>
    <w:rPr>
      <w:b/>
      <w:color w:val="106bbe"/>
    </w:rPr>
  </w:style>
  <w:style w:type="character" w:styleId="899" w:customStyle="1">
    <w:name w:val="Цветовое выделение"/>
    <w:uiPriority w:val="99"/>
    <w:qFormat/>
    <w:rPr>
      <w:b/>
      <w:color w:val="26282f"/>
    </w:rPr>
  </w:style>
  <w:style w:type="paragraph" w:styleId="900" w:customStyle="1">
    <w:name w:val="Default"/>
    <w:unhideWhenUsed/>
    <w:qFormat/>
    <w:pPr>
      <w:widowControl w:val="off"/>
    </w:pPr>
    <w:rPr>
      <w:rFonts w:eastAsia="Times New Roman"/>
      <w:color w:val="000000"/>
      <w:sz w:val="24"/>
      <w:szCs w:val="24"/>
    </w:rPr>
  </w:style>
  <w:style w:type="paragraph" w:styleId="901" w:customStyle="1">
    <w:name w:val="Нормальный (таблица)"/>
    <w:basedOn w:val="710"/>
    <w:next w:val="710"/>
    <w:uiPriority w:val="99"/>
    <w:qFormat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902" w:customStyle="1">
    <w:name w:val="Таблицы (моноширинный)"/>
    <w:basedOn w:val="710"/>
    <w:next w:val="710"/>
    <w:uiPriority w:val="99"/>
    <w:qFormat/>
    <w:pPr>
      <w:spacing w:after="0" w:line="240" w:lineRule="auto"/>
      <w:widowControl w:val="off"/>
    </w:pPr>
    <w:rPr>
      <w:rFonts w:ascii="Courier New" w:hAnsi="Courier New" w:cs="Courier New" w:eastAsiaTheme="minorEastAsia"/>
      <w:sz w:val="24"/>
      <w:szCs w:val="24"/>
      <w:lang w:eastAsia="ru-RU"/>
    </w:rPr>
  </w:style>
  <w:style w:type="paragraph" w:styleId="903">
    <w:name w:val="Balloon Text"/>
    <w:basedOn w:val="710"/>
    <w:link w:val="90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4" w:customStyle="1">
    <w:name w:val="Текст выноски Знак"/>
    <w:basedOn w:val="720"/>
    <w:link w:val="903"/>
    <w:uiPriority w:val="99"/>
    <w:semiHidden/>
    <w:rPr>
      <w:rFonts w:ascii="Tahoma" w:hAnsi="Tahoma" w:cs="Tahoma" w:eastAsiaTheme="minorHAnsi"/>
      <w:sz w:val="16"/>
      <w:szCs w:val="16"/>
      <w:lang w:eastAsia="en-US"/>
    </w:rPr>
  </w:style>
  <w:style w:type="character" w:styleId="905">
    <w:name w:val="annotation reference"/>
    <w:basedOn w:val="720"/>
    <w:uiPriority w:val="99"/>
    <w:semiHidden/>
    <w:unhideWhenUsed/>
    <w:rPr>
      <w:sz w:val="16"/>
      <w:szCs w:val="16"/>
    </w:rPr>
  </w:style>
  <w:style w:type="paragraph" w:styleId="906">
    <w:name w:val="annotation text"/>
    <w:basedOn w:val="710"/>
    <w:link w:val="90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7" w:customStyle="1">
    <w:name w:val="Текст примечания Знак"/>
    <w:basedOn w:val="720"/>
    <w:link w:val="906"/>
    <w:uiPriority w:val="99"/>
    <w:semiHidden/>
    <w:rPr>
      <w:rFonts w:asciiTheme="minorHAnsi" w:hAnsiTheme="minorHAnsi" w:eastAsiaTheme="minorHAnsi" w:cstheme="minorBidi"/>
      <w:lang w:eastAsia="en-US"/>
    </w:rPr>
  </w:style>
  <w:style w:type="paragraph" w:styleId="908">
    <w:name w:val="annotation subject"/>
    <w:basedOn w:val="906"/>
    <w:next w:val="906"/>
    <w:link w:val="909"/>
    <w:uiPriority w:val="99"/>
    <w:semiHidden/>
    <w:unhideWhenUsed/>
    <w:rPr>
      <w:b/>
      <w:bCs/>
    </w:rPr>
  </w:style>
  <w:style w:type="character" w:styleId="909" w:customStyle="1">
    <w:name w:val="Тема примечания Знак"/>
    <w:basedOn w:val="907"/>
    <w:link w:val="908"/>
    <w:uiPriority w:val="99"/>
    <w:semiHidden/>
    <w:rPr>
      <w:rFonts w:asciiTheme="minorHAnsi" w:hAnsiTheme="minorHAnsi" w:eastAsiaTheme="minorHAnsi" w:cstheme="minorBidi"/>
      <w:b/>
      <w:bCs/>
      <w:lang w:eastAsia="en-US"/>
    </w:rPr>
  </w:style>
  <w:style w:type="paragraph" w:styleId="910" w:customStyle="1">
    <w:name w:val="ConsPlusNormal"/>
    <w:link w:val="911"/>
    <w:uiPriority w:val="99"/>
    <w:qFormat/>
    <w:pPr>
      <w:widowControl w:val="off"/>
    </w:pPr>
    <w:rPr>
      <w:rFonts w:ascii="Calibri" w:hAnsi="Calibri" w:eastAsia="Times New Roman" w:cs="Calibri"/>
      <w:sz w:val="22"/>
    </w:rPr>
  </w:style>
  <w:style w:type="character" w:styleId="911" w:customStyle="1">
    <w:name w:val="ConsPlusNormal Знак"/>
    <w:link w:val="910"/>
    <w:uiPriority w:val="99"/>
    <w:qFormat/>
    <w:rPr>
      <w:rFonts w:ascii="Calibri" w:hAnsi="Calibri" w:eastAsia="Times New Roman" w:cs="Calibri"/>
      <w:sz w:val="22"/>
    </w:rPr>
  </w:style>
  <w:style w:type="paragraph" w:styleId="912">
    <w:name w:val="Normal (Web)"/>
    <w:basedOn w:val="71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Заголовок 11"/>
    <w:qFormat/>
    <w:pPr>
      <w:jc w:val="right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eastAsia="Times New Roman"/>
      <w:b/>
      <w:sz w:val="28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#/document/411032782/entry/4000" TargetMode="External"/><Relationship Id="rId16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1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28" Type="http://schemas.openxmlformats.org/officeDocument/2006/relationships/hyperlink" Target="https://internet.garant.ru/#/document/411032782/entry/4000" TargetMode="External"/><Relationship Id="rId29" Type="http://schemas.openxmlformats.org/officeDocument/2006/relationships/hyperlink" Target="https://mobileonline.garant.ru/" TargetMode="External"/><Relationship Id="rId30" Type="http://schemas.openxmlformats.org/officeDocument/2006/relationships/hyperlink" Target="https://mobileonline.garant.ru/" TargetMode="External"/><Relationship Id="rId31" Type="http://schemas.openxmlformats.org/officeDocument/2006/relationships/hyperlink" Target="https://mobileonline.garant.ru/" TargetMode="External"/><Relationship Id="rId32" Type="http://schemas.openxmlformats.org/officeDocument/2006/relationships/hyperlink" Target="https://mobileonline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0AC0DDF-DF53-4A5C-A691-636A23E4C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9</cp:revision>
  <dcterms:created xsi:type="dcterms:W3CDTF">2025-10-28T09:22:00Z</dcterms:created>
  <dcterms:modified xsi:type="dcterms:W3CDTF">2025-11-09T16:45:51Z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7E50366461C04412925A97841AAC6F2B</vt:lpwstr>
  </property>
</Properties>
</file>