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35"/>
        <w:ind w:left="663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Утвержден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666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постановлением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666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Кабинета Министров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666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Республики Татарстан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666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________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_______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666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jc w:val="center"/>
        <w:rPr>
          <w:rFonts w:hint="eastAsia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Стандарт качества государственной услуги «Реализация образовательных программ начального общего образования» 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</w:r>
    </w:p>
    <w:p>
      <w:pPr>
        <w:ind w:firstLine="540"/>
        <w:jc w:val="center"/>
        <w:spacing w:line="288" w:lineRule="atLeast"/>
        <w:rPr>
          <w:rFonts w:hint="eastAsia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Категории (в том числе льготные) получателей государственной услуги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pStyle w:val="103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1.1. Получателями государственной услуги по реализации образовательных программ начального общего образования (далее – государственная услуга) являются: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с ограниченными возможностям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здоровья, в том числе с инвалидностью в возрасте от шести лет шести месяцев при отсутствии противопоказаний по состоянию здоровья, проживающие на территории Республики Татарстан, направленные в общеобразовательные организации для обучающихся с ограниченн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ыми возможностями здоровья, реализующие адаптированные образовательные программы начального общего образо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вания, находящиеся в ведении Республики Татарстан (далее соответственно –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обучающиеся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 ограниченными возможностями здоровья, в том числе с инвалидност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ью; общеобразовательные организации для обучающихся с ограниченн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ыми возможностями здоровья);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  <w:outlineLvl w:val="0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возрасте от шести лет шести месяцев при отсутствии противопоказаний по состоянию здоровья, проживающие на территории Республики Татарстан, направленные в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анаторные общеобразовательные организации для обучающихся, нуждающихся в длительном лечении, находящиеся в ведении Республики Татарстан (далее – санаторная школа-интернат)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  <w:lang w:eastAsia="en-US"/>
        </w:rPr>
        <w:t xml:space="preserve">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b/>
          <w:bCs/>
          <w:shd w:val="clear" w:color="auto" w:fill="ffffff"/>
        </w:rPr>
        <w:outlineLvl w:val="0"/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  <w:lang w:eastAsia="en-US"/>
        </w:rPr>
        <w:t xml:space="preserve">дети в возрасте от шести лет шести месяцев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отсутствии противопоказаний по состоянию здоровья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  <w:lang w:eastAsia="en-US"/>
        </w:rPr>
        <w:t xml:space="preserve">, направленные в общеобразовательные организации, реализующие образовательные программы начального общего образования, находящиеся в ведении Республики Татарстан (далее - общеобразовательные организации)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  <w:lang w:eastAsia="en-US"/>
        </w:rPr>
        <w:t xml:space="preserve">.</w:t>
      </w:r>
      <w:r>
        <w:rPr>
          <w:shd w:val="clear" w:color="auto" w:fill="ffffff"/>
        </w:rPr>
        <w:t xml:space="preserve">  </w:t>
      </w:r>
      <w:r>
        <w:rPr>
          <w:b/>
          <w:bCs/>
          <w:shd w:val="clear" w:color="auto" w:fill="ffffff"/>
        </w:rPr>
      </w:r>
      <w:r>
        <w:rPr>
          <w:b/>
          <w:bCs/>
          <w:shd w:val="clear" w:color="auto" w:fill="ffffff"/>
        </w:rPr>
      </w:r>
    </w:p>
    <w:p>
      <w:pPr>
        <w:pStyle w:val="1035"/>
        <w:ind w:firstLine="709"/>
        <w:jc w:val="both"/>
        <w:rPr>
          <w:b/>
          <w:bCs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1.2. Право на внеочередное получение государственной услуги имеют:</w:t>
      </w:r>
      <w:r>
        <w:rPr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</w:r>
      <w:r>
        <w:rPr>
          <w:b/>
          <w:bCs/>
          <w:shd w:val="clear" w:color="auto" w:fill="ffffff"/>
        </w:rPr>
      </w:r>
    </w:p>
    <w:p>
      <w:pPr>
        <w:pStyle w:val="103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ую семью либо в случаях, предусмотренных законами Республики Татарстан, патронатную семью, по месту жительства их семей;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3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судей (в случаях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);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3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прокуроров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(в случаях 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3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дети сотрудников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Следственного комитета Российской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Федерации  (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случ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аях зачисления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общеобразовательные организации, имеющие интернат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).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3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Право на первоочередное получение государственной услуги имеют: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сотрудников органов внутренних дел, не являющихся сотрудниками полиции;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дети сотрудников полиции и сотрудников, имеющих специальные звания и проходящих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(далее — сотрудник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и);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дети сотрудников, погибших (умерших) вследствие увечья или иного повреждения здоровья, полученных в связи с выполнением служебных обязанностей;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дети сотрудников, умерших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вследствии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заболевания, полученного в период прохождения службы в полиции,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дети граждан Российской Федерации, уволенных со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прохождения службы в полиции,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дети граждан Российской Федерации, умерших в течении одного года после увольнения со службы в полиции,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учреждениях и органах уголовно-исполнительной системы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вследствие ув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службы, исключивших возможность дальнейшего прохождения службы в полиции;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дети, находящиеся (находи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вшиеся) на иждивении сотрудник</w:t>
      </w:r>
      <w:r>
        <w:rPr>
          <w:rStyle w:val="76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граждан Российской Федерации, указанных в абзацах седьмом – одиннадцатом настоящего пункта;</w:t>
      </w:r>
      <w:r/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военнослужащих по месту жительства их семей;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военнослужащих, проходящих военную службу по контракту, уволенных с военной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службы при достижении ими предельного возраста пребывания на военной службе, по состоянию здоровья или в связи с организационно-штатными мероприятиями;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сотрудников, имеющих специальные звания и проходящих службу в учреждениях и органах уголовно-исполн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ительной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системы,  органах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принудительного исполнения Российской Федерации, федеральной противопожарной службе Государственной противопожарной службы, таможенных органах Российской Федерации.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Республики Татарстан, патронатную семью, имеет право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преимущественного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получения государственной услуги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в части приема </w:t>
      </w:r>
      <w:r>
        <w:rPr>
          <w:rFonts w:ascii="Times New Roman" w:hAnsi="Times New Roman" w:eastAsia="Times New Roman" w:cs="Times New Roman"/>
          <w:color w:val="22272f"/>
          <w:sz w:val="28"/>
          <w:szCs w:val="28"/>
          <w:highlight w:val="white"/>
        </w:rPr>
        <w:t xml:space="preserve">на обучение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 в образовательную организацию, в которой обучаются его брат и (или) сестра (полнородные и неполнородные, усыновленные (удочеренные), дети, опекунами (попечителями) котор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</w:rPr>
        <w:t xml:space="preserve">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ребенка.  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35"/>
        <w:ind w:firstLine="709"/>
        <w:jc w:val="both"/>
      </w:pPr>
      <w:r/>
      <w:r/>
    </w:p>
    <w:p>
      <w:pPr>
        <w:pStyle w:val="1035"/>
        <w:ind w:firstLine="709"/>
        <w:jc w:val="both"/>
      </w:pPr>
      <w:r/>
      <w:r/>
    </w:p>
    <w:p>
      <w:pPr>
        <w:pStyle w:val="1035"/>
        <w:ind w:firstLine="709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Правовое основание оказания государственной услуги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 Государственная услуга предоставляется в соответствии со следующими законодательными и иными нормативными правовыми актами, методическими и инструктивными документами: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Конституция Российской Федерации;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Трудовой кодекс Российской Федерации;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 Росси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Российской Федерации от 17 января 1992 года № 2202-1 «О прокуратуре Российской Федер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ации»;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20"/>
        <w:jc w:val="both"/>
        <w:rPr>
          <w:rFonts w:hint="eastAsia"/>
        </w:rPr>
      </w:pPr>
      <w:r/>
      <w:hyperlink r:id="rId13" w:tooltip="https://internet.garant.ru/document/redirect/10106035/0" w:history="1">
        <w:r>
          <w:rPr>
            <w:rFonts w:ascii="Times New Roman" w:hAnsi="Times New Roman" w:eastAsia="TimesNewRomanCYR" w:cs="TimesNewRomanCYR"/>
            <w:color w:val="000000" w:themeColor="text1"/>
            <w:sz w:val="28"/>
            <w:szCs w:val="28"/>
            <w:shd w:val="clear" w:color="auto" w:fill="ffffff"/>
          </w:rPr>
          <w:t xml:space="preserve">Закон</w:t>
        </w:r>
      </w:hyperlink>
      <w:r>
        <w:rPr>
          <w:rFonts w:ascii="Times New Roman" w:hAnsi="Times New Roman" w:eastAsia="TimesNewRomanCYR" w:cs="TimesNewRomanCYR"/>
          <w:color w:val="000000" w:themeColor="text1"/>
          <w:sz w:val="28"/>
          <w:szCs w:val="28"/>
          <w:shd w:val="clear" w:color="auto" w:fill="ffffff"/>
        </w:rPr>
        <w:t xml:space="preserve"> Российской Федерации от 7 февраля 1992 года № 2300-1 «О защите прав потребителей»;</w:t>
      </w:r>
      <w:r>
        <w:rPr>
          <w:rFonts w:hint="eastAsia"/>
        </w:rPr>
      </w:r>
      <w:r>
        <w:rPr>
          <w:rFonts w:hint="eastAsia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 Российской Федерации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26 июня 1992 года № 3132-1 «О статусе судей в Российской Федерации»;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от 27 мая 1998 года № 76-ФЗ «О статусе военнослужащих»;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от 24 июля 1998 года № 124-ФЗ «Об основных гарантиях прав ребенка в Российской Федерации»;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едеральный закон от 2 мая 2006 года № 59-ФЗ «О порядке рассмотрения обращений граждан Российской Федерации»;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от 28 декабря 2010 года № 403-ФЗ «О Следственном комитете Российской Федерации»;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от 7 февраля 2011 года № 3-ФЗ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 полиции»;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от 21 ноября 2011 года № 323-ФЗ «Об основах охраны здоровья граждан в Российской Федерации» (далее — Федеральный закон № 323-ФЗ); </w:t>
      </w:r>
      <w:r/>
    </w:p>
    <w:p>
      <w:pPr>
        <w:ind w:firstLine="709"/>
        <w:jc w:val="both"/>
        <w:rPr>
          <w:rFonts w:ascii="Times New Roman" w:hAnsi="Times New Roman" w:eastAsia="Calibri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Федеральный закон от 29 декабря 2012 года № 273-ФЗ «Об образовании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(далее — Федеральный закон № 273-ФЗ);</w:t>
      </w:r>
      <w:r>
        <w:rPr>
          <w:rFonts w:ascii="Times New Roman" w:hAnsi="Times New Roman" w:eastAsia="Calibri"/>
          <w:sz w:val="28"/>
          <w:szCs w:val="28"/>
          <w:shd w:val="clear" w:color="auto" w:fill="ffffff"/>
        </w:rPr>
      </w:r>
      <w:r>
        <w:rPr>
          <w:rFonts w:ascii="Times New Roman" w:hAnsi="Times New Roman" w:eastAsia="Calibri"/>
          <w:sz w:val="28"/>
          <w:szCs w:val="28"/>
          <w:shd w:val="clear" w:color="auto" w:fill="ffffff"/>
        </w:rPr>
      </w:r>
    </w:p>
    <w:p>
      <w:pPr>
        <w:ind w:firstLine="709"/>
        <w:jc w:val="both"/>
        <w:rPr>
          <w:rFonts w:hint="eastAsia"/>
        </w:rPr>
      </w:pP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  <w:r>
        <w:rPr>
          <w:rFonts w:hint="eastAsia"/>
        </w:rPr>
      </w:r>
      <w:r>
        <w:rPr>
          <w:rFonts w:hint="eastAsia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Ук</w:t>
      </w: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аза Президента Российской Федерации от 2 октября 1992 года № 1157 «О дополнительных мерах государственной поддержки инвалидов»;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Указ Президента 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Российской Федерации</w:t>
      </w: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 от 23 января 2024 года № 63 «О мерах социальной поддержки многодетных семей»;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постановление</w:t>
      </w: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 Верховного Совета Российской Федерации от 27 декабря 1991 г.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</w:t>
      </w: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риска»;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постановление 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Правительства  Российской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 Федерации от 18 сентября 2020 г. № 1490 «О лицензировании образовательной деятельности»;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Правительства 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20 октября 2021 г. № 1802 «Об утверждении Правил размещения на офиц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Российской Федерации»;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образования Российской Федерации от 9 марта 2004 г.       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рограммы общего образования»;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образования и науки Российской Федерации от 6 октября 2009 г. № 373 «Об утверждении и введении в действие Федерального государственного образовательного стандарта начального общего образования»;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стерства образования и науки Российской Федерации от 19 декабря 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бразования и науки Российской Федерации от 19 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просвещения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от 2 сентября 2020 г. № 458 «Об утверждении Порядка приема на обучение по образовательным программам начального общего, основного общего и среднего общего образования»;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просвещения Российской Федерации от 22 марта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2021 г. № 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росвещения Российской Федерации от 6 апреля 2023 г. № 240 «Об утверждении Порядка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условий осуществления перевода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просвещения Российской Федерации от 1 ноября 2024 г. № 763 «Об 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тверждении Положения о психолого-медико-педагогической комиссии»;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Российской Федерации от 14 апреля 2025 г. № 211н «Об утверждении порядка прохождения несовершеннолетними профилактических медицинских осмотров, учетной фо</w:t>
      </w:r>
      <w:r>
        <w:rPr>
          <w:rFonts w:ascii="Times New Roman" w:hAnsi="Times New Roman" w:cs="Times New Roman"/>
          <w:sz w:val="28"/>
          <w:szCs w:val="28"/>
        </w:rPr>
        <w:t xml:space="preserve">рмы № 030-ПО/у «Карта профилактического медицинского осмотра несовершеннолетнего», порядка ее ведения, а также формы отраслевого статистического наблюдения № 030-ПО/о «Сведения о профилактических медицинских осмотрах несовершеннолетних», порядка ее заполне</w:t>
      </w:r>
      <w:r>
        <w:rPr>
          <w:rFonts w:ascii="Times New Roman" w:hAnsi="Times New Roman" w:cs="Times New Roman"/>
          <w:sz w:val="28"/>
          <w:szCs w:val="28"/>
        </w:rPr>
        <w:t xml:space="preserve">ния»;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Российской Федерации от 14 апреля 2025 г. № 213н «Об утверждении порядка оказания несовершеннолетним медицинской помощи, в том числе в период обучения и воспитания в образовательных организациях»;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постановление Главного государственного санитарного врача Российской Федерации от 28 сентября 2020 г. № 28 «Об утверждении санитарных правил СП 2.4.3648-20 «Санитарно-эпидемиологические требования к организациям воспитания и обучения, отдыха и оздоровления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 детей и молодежи»;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Конституция Республики Татарстан;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920"/>
        <w:rPr>
          <w:rFonts w:hint="eastAsia"/>
          <w:shd w:val="clear" w:color="auto" w:fill="00ff7f"/>
        </w:rPr>
      </w:pPr>
      <w:r>
        <w:rPr>
          <w:rFonts w:ascii="Times New Roman" w:hAnsi="Times New Roman" w:eastAsia="TimesNewRomanCYR" w:cs="TimesNewRomanCYR"/>
          <w:sz w:val="28"/>
          <w:szCs w:val="28"/>
          <w:shd w:val="clear" w:color="auto" w:fill="ffffff"/>
        </w:rPr>
        <w:tab/>
        <w:t xml:space="preserve">Закон Республики Татарстан от 12 мая 2003 года № 16-ЗРТ «Об обращениях граждан в Республике Татарстан»;</w:t>
      </w:r>
      <w:r>
        <w:rPr>
          <w:rFonts w:hint="eastAsia"/>
          <w:shd w:val="clear" w:color="auto" w:fill="00ff7f"/>
        </w:rPr>
      </w:r>
      <w:r>
        <w:rPr>
          <w:rFonts w:hint="eastAsia"/>
          <w:shd w:val="clear" w:color="auto" w:fill="00ff7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Calibri"/>
          <w:sz w:val="28"/>
          <w:szCs w:val="28"/>
          <w:shd w:val="clear" w:color="auto" w:fill="ffffff"/>
        </w:rPr>
        <w:t xml:space="preserve">Закон Республики Татарстан от 22 июля 2013 года № 68-ЗРТ «Об образовании»;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Кабинета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Министров Республики Татарстан от 30.06.2009                   № 445 «О стандартах качества государственных услуг, оказываемых государственными учреждениями Республики Татарстан»;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Кабинета Министров Республики Татарстан от 30.06.2009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№ 446 «О Порядке проведения оценки соответствия качества фактически предоставляемых государственных услуг установленным стандартам качества государственных услуг, оказываемых государственными учреждениями Республики Татарстан»;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Каби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нета Министров Республики Татарстан от 29.09.2015 № 726 «Об утверждении примерного перечня государственных услуг и работ, оказываемых и выполняемых государственными учреждениями и финансируемых за счет средств бюджета Республики Татарстан, в разрезе видов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учреждений и отдельных государственных учреждений Республики Татарстан»;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устав общеобразовательной организации, общеобразовательной организации для обучающихся с ограниченными возможностями здоровья, санаторной школы-интернат (далее – организация, осуществ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ляющая образовательную деятельность);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локальные нормативные акты организации, осуществляющей образовательную деятельность, регламентирующие образовательную деятельность;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иные нормативные правовые акты.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2.2. Оказание государственной услуги не регулируется Федеральным законом от 27 июля 2010 года № 210-ФЗ «Об организации предоставления государственных и муниципальных услуг».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center"/>
        <w:rPr>
          <w:shd w:val="clear" w:color="auto" w:fill="ffffff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134" w:header="170" w:footer="0" w:gutter="0"/>
          <w:cols w:num="1" w:sep="0" w:space="1701" w:equalWidth="1"/>
          <w:docGrid w:linePitch="360"/>
          <w:titlePg/>
        </w:sectPr>
      </w:pPr>
      <w:r>
        <w:br w:type="page" w:clear="all"/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III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Описание результата предоставления государственной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услуги</w:t>
      </w:r>
      <w:r/>
      <w:r>
        <w:rPr>
          <w:shd w:val="clear" w:color="auto" w:fill="ffffff"/>
        </w:rPr>
      </w:r>
      <w:r>
        <w:rPr>
          <w:rFonts w:ascii="Times New Roman" w:hAnsi="Times New Roman" w:cs="Times New Roman"/>
          <w:sz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highlight w:val="none"/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Результат предоставления государственной услуги оценив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ается следующими индикаторами качества предоставления государственной услуги:</w:t>
      </w:r>
      <w:r>
        <w:rPr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035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</w:r>
      <w:r>
        <w:rPr>
          <w:rFonts w:ascii="Times New Roman" w:hAnsi="Times New Roman" w:cs="Times New Roman"/>
          <w:sz w:val="28"/>
          <w:shd w:val="clear" w:color="auto" w:fill="ffffff"/>
        </w:rPr>
      </w:r>
      <w:r>
        <w:rPr>
          <w:rFonts w:ascii="Times New Roman" w:hAnsi="Times New Roman" w:cs="Times New Roman"/>
          <w:sz w:val="28"/>
          <w:shd w:val="clear" w:color="auto" w:fill="ffffff"/>
        </w:rPr>
      </w:r>
    </w:p>
    <w:tbl>
      <w:tblPr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05"/>
        <w:gridCol w:w="1339"/>
        <w:gridCol w:w="3248"/>
        <w:gridCol w:w="2280"/>
        <w:gridCol w:w="1560"/>
        <w:gridCol w:w="2409"/>
        <w:gridCol w:w="1701"/>
      </w:tblGrid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№ п/п</w:t>
            </w: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Наименование показателя оценки качества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Единица измерения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Формула расчета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Источник информации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Весовой коэффициент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Пороговое значение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highlight w:val="green"/>
                <w:shd w:val="clear" w:color="auto" w:fill="ffffff"/>
              </w:rPr>
            </w:pPr>
            <w:r>
              <w:rPr>
                <w:rFonts w:ascii="Times New Roman" w:hAnsi="Times New Roman"/>
                <w:highlight w:val="green"/>
                <w:shd w:val="clear" w:color="auto" w:fill="ffffff"/>
              </w:rPr>
            </w:r>
            <w:r>
              <w:rPr>
                <w:rFonts w:ascii="Times New Roman" w:hAnsi="Times New Roman"/>
                <w:highlight w:val="green"/>
                <w:shd w:val="clear" w:color="auto" w:fill="ffffff"/>
              </w:rPr>
            </w:r>
            <w:r>
              <w:rPr>
                <w:rFonts w:ascii="Times New Roman" w:hAnsi="Times New Roman"/>
                <w:highlight w:val="green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8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  <w:r>
              <w:rPr>
                <w:rFonts w:ascii="Times New Roman" w:hAnsi="Times New Roman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для образовательных организаций для</w:t>
            </w:r>
            <w:r>
              <w:rPr>
                <w:rFonts w:ascii="Times New Roman" w:hAnsi="Times New Roman" w:eastAsia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hd w:val="clear" w:color="auto" w:fill="ffffff"/>
              </w:rPr>
              <w:t xml:space="preserve">обучающихся</w:t>
            </w:r>
            <w:r>
              <w:rPr>
                <w:rFonts w:ascii="Times New Roman" w:hAnsi="Times New Roman" w:eastAsia="Times New Roman"/>
                <w:sz w:val="22"/>
                <w:szCs w:val="22"/>
                <w:shd w:val="clear" w:color="auto" w:fill="ffffff"/>
              </w:rPr>
              <w:t xml:space="preserve"> с огр</w:t>
            </w: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аниченными возмож</w:t>
            </w:r>
            <w:r>
              <w:rPr>
                <w:rFonts w:ascii="Times New Roman" w:hAnsi="Times New Roman" w:eastAsia="Times New Roman"/>
                <w:sz w:val="22"/>
                <w:szCs w:val="22"/>
                <w:shd w:val="clear" w:color="auto" w:fill="ffffff"/>
              </w:rPr>
              <w:t xml:space="preserve">ностями здоровья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, в том числе с</w:t>
            </w:r>
            <w:r>
              <w:rPr>
                <w:rFonts w:ascii="Times New Roman" w:hAnsi="Times New Roman" w:eastAsia="Times New Roman"/>
                <w:sz w:val="22"/>
                <w:szCs w:val="22"/>
                <w:shd w:val="clear" w:color="auto" w:fill="ffffff"/>
              </w:rPr>
              <w:t xml:space="preserve"> инвалидно</w:t>
            </w: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стью, 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для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обучающихся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нуждающихся в 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длительном лечении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для общеобразовательных организаций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1</w:t>
            </w: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2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3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4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hd w:val="clear" w:color="auto" w:fill="ffffff"/>
              </w:rPr>
              <w:t xml:space="preserve">5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6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7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Times New Roman"/>
                <w:sz w:val="22"/>
                <w:shd w:val="clear" w:color="auto" w:fill="ffffff"/>
              </w:rPr>
              <w:t xml:space="preserve">8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ind w:left="-27"/>
              <w:jc w:val="center"/>
              <w:widowControl w:val="off"/>
              <w:rPr>
                <w:rFonts w:ascii="Times New Roman" w:hAnsi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1.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Успеваемость 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обучающихся,   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осваивающих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 w:bidi="ar-SA"/>
              </w:rPr>
              <w:t xml:space="preserve">образовательную программу начального общего образования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ascii="Times New Roman" w:hAnsi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процентов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8" w:type="dxa"/>
            <w:textDirection w:val="lrTb"/>
            <w:noWrap w:val="false"/>
          </w:tcPr>
          <w:p>
            <w:pPr>
              <w:ind w:hanging="26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A/B </w:t>
            </w:r>
            <m:oMath>
              <m:r>
                <w:rPr>
                  <w:rFonts w:ascii="Cambria Math" w:hAnsi="Cambria Math"/>
                </w:rPr>
                <m:rPr/>
                <m:t>×</m:t>
              </m:r>
            </m:oMath>
            <w:r>
              <w:rPr>
                <w:shd w:val="clear" w:color="auto" w:fill="ffffff"/>
              </w:rPr>
              <w:t xml:space="preserve"> 100%, 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где</w:t>
            </w:r>
            <w:r>
              <w:rPr>
                <w:rFonts w:ascii="Times New Roman" w:hAnsi="Times New Roman"/>
                <w:sz w:val="22"/>
                <w:shd w:val="clear" w:color="auto" w:fill="ffffff"/>
                <w:lang w:val="tt-RU"/>
              </w:rPr>
              <w:t xml:space="preserve">: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A – число обучающихся, осваивающих образовательную программу начального общего образования,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имеющих удовлетворительные результаты;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B – общая численность обучающихся, осваивающих образовательную программу начального общего образования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1039"/>
              <w:jc w:val="both"/>
              <w:widowControl w:val="off"/>
              <w:rPr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мониторинга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  <w:lang w:val="en-US"/>
              </w:rPr>
              <w:t xml:space="preserve">9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100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  <w:lang w:val="en-US"/>
              </w:rPr>
              <w:t xml:space="preserve">100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ind w:left="-27"/>
              <w:jc w:val="center"/>
              <w:widowControl w:val="off"/>
              <w:rPr>
                <w:rFonts w:ascii="Times New Roman" w:hAnsi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2.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Качество знаний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обучающихся,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осваивающих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 w:bidi="ar-SA"/>
              </w:rPr>
              <w:t xml:space="preserve">образовательную программу начального общего образования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ascii="Times New Roman" w:hAnsi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процентов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8" w:type="dxa"/>
            <w:textDirection w:val="lrTb"/>
            <w:noWrap w:val="false"/>
          </w:tcPr>
          <w:p>
            <w:pPr>
              <w:ind w:firstLine="32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A/B </w:t>
            </w:r>
            <m:oMath>
              <m:r>
                <w:rPr>
                  <w:rFonts w:ascii="Cambria Math" w:hAnsi="Cambria Math"/>
                </w:rPr>
                <m:rPr/>
                <m:t>×</m:t>
              </m:r>
            </m:oMath>
            <w:r>
              <w:rPr>
                <w:shd w:val="clear" w:color="auto" w:fill="ffffff"/>
              </w:rPr>
              <w:t xml:space="preserve"> 100%, 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где</w:t>
            </w:r>
            <w:r>
              <w:rPr>
                <w:rFonts w:ascii="Times New Roman" w:hAnsi="Times New Roman"/>
                <w:sz w:val="22"/>
                <w:shd w:val="clear" w:color="auto" w:fill="ffffff"/>
                <w:lang w:val="tt-RU"/>
              </w:rPr>
              <w:t xml:space="preserve">: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A – число обучающихся, осваивающих образовательную программу начального общего образования и обучающихся на «хорошо» и «отлично»;            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B – общая численность обучающихся, осваивающих образовательную программу начального общего образования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1039"/>
              <w:jc w:val="both"/>
              <w:widowControl w:val="off"/>
              <w:rPr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мониторинга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  <w:lang w:val="en-US"/>
              </w:rPr>
              <w:t xml:space="preserve">9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55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  <w:lang w:val="en-US"/>
              </w:rPr>
              <w:t xml:space="preserve">65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ind w:left="-27"/>
              <w:jc w:val="center"/>
              <w:widowControl w:val="off"/>
              <w:rPr>
                <w:rFonts w:ascii="Times New Roman" w:hAnsi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3.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Доля родителей (законных представителей), удовлетворенных условиями и качеством предоставляемой государственной услуги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процентов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8" w:type="dxa"/>
            <w:textDirection w:val="lrTb"/>
            <w:noWrap w:val="false"/>
          </w:tcPr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A/B </w:t>
            </w:r>
            <m:oMath>
              <m:r>
                <w:rPr>
                  <w:rFonts w:ascii="Cambria Math" w:hAnsi="Cambria Math"/>
                </w:rPr>
                <m:rPr/>
                <m:t>×</m:t>
              </m:r>
            </m:oMath>
            <w:r>
              <w:rPr>
                <w:shd w:val="clear" w:color="auto" w:fill="ffffff"/>
              </w:rPr>
              <w:t xml:space="preserve"> 100%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, где</w:t>
            </w:r>
            <w:r>
              <w:rPr>
                <w:rFonts w:ascii="Times New Roman" w:hAnsi="Times New Roman"/>
                <w:sz w:val="22"/>
                <w:shd w:val="clear" w:color="auto" w:fill="ffffff"/>
                <w:lang w:val="tt-RU"/>
              </w:rPr>
              <w:t xml:space="preserve">: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А – число родителей (законных представителей), оценивающих положительно условия и качество предоставляемой гос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ударственной услуги;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В </w:t>
            </w:r>
            <w:r>
              <w:rPr>
                <w:rFonts w:ascii="Times New Roman" w:hAnsi="Times New Roman"/>
                <w:sz w:val="22"/>
                <w:shd w:val="clear" w:color="auto" w:fill="ffffff"/>
                <w:lang w:val="tt-RU"/>
              </w:rPr>
              <w:t xml:space="preserve">–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 общее число опрошенных родителей (законных представителей) (не менее 61%)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1039"/>
              <w:jc w:val="both"/>
              <w:widowControl w:val="off"/>
              <w:rPr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мониторинга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9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90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9</w:t>
            </w:r>
            <w:r>
              <w:rPr>
                <w:rFonts w:ascii="Times New Roman" w:hAnsi="Times New Roman"/>
                <w:sz w:val="22"/>
                <w:shd w:val="clear" w:color="auto" w:fill="ffffff"/>
                <w:lang w:val="en-US"/>
              </w:rPr>
              <w:t xml:space="preserve">0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ind w:left="-27"/>
              <w:jc w:val="center"/>
              <w:widowControl w:val="off"/>
              <w:rPr>
                <w:rFonts w:ascii="Times New Roman" w:hAnsi="Times New Roman" w:eastAsia="Calibri"/>
                <w:sz w:val="22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4.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Доля обоснованных жалоб </w:t>
            </w:r>
            <w:r>
              <w:rPr>
                <w:rFonts w:ascii="Times New Roman" w:hAnsi="Times New Roman" w:eastAsia="Calibri"/>
                <w:sz w:val="22"/>
                <w:szCs w:val="22"/>
                <w:shd w:val="clear" w:color="auto" w:fill="ffffff"/>
                <w:lang w:eastAsia="en-US" w:bidi="ar-SA"/>
              </w:rPr>
              <w:t xml:space="preserve">родителей (законных </w:t>
            </w:r>
            <w:r>
              <w:rPr>
                <w:rFonts w:ascii="Times New Roman" w:hAnsi="Times New Roman" w:eastAsia="Calibri"/>
                <w:sz w:val="22"/>
                <w:szCs w:val="22"/>
                <w:shd w:val="clear" w:color="auto" w:fill="ffffff"/>
                <w:lang w:eastAsia="en-US" w:bidi="ar-SA"/>
              </w:rPr>
              <w:t xml:space="preserve">представителей)  обучающихся</w:t>
            </w:r>
            <w:r>
              <w:rPr>
                <w:rFonts w:ascii="Times New Roman" w:hAnsi="Times New Roman" w:eastAsia="Calibri"/>
                <w:sz w:val="22"/>
                <w:szCs w:val="22"/>
                <w:shd w:val="clear" w:color="auto" w:fill="ffffff"/>
                <w:lang w:eastAsia="en-US" w:bidi="ar-SA"/>
              </w:rPr>
              <w:t xml:space="preserve">, осваивающих образовательную программу начального общего образования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ascii="Times New Roman" w:hAnsi="Times New Roman" w:eastAsia="Calibri"/>
                <w:sz w:val="22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ascii="Times New Roman" w:hAnsi="Times New Roman" w:eastAsia="Calibri"/>
                <w:sz w:val="22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процентов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8" w:type="dxa"/>
            <w:textDirection w:val="lrTb"/>
            <w:noWrap w:val="false"/>
          </w:tcPr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Ж</w:t>
            </w:r>
            <w:r>
              <w:rPr>
                <w:rFonts w:ascii="Times New Roman" w:hAnsi="Times New Roman" w:eastAsia="Calibri"/>
                <w:position w:val="-2"/>
                <w:sz w:val="22"/>
                <w:shd w:val="clear" w:color="auto" w:fill="ffffff"/>
              </w:rPr>
              <w:t xml:space="preserve">о</w:t>
            </w:r>
            <w:r>
              <w:rPr>
                <w:shd w:val="clear" w:color="auto" w:fill="ffffff"/>
              </w:rPr>
              <w:t xml:space="preserve">/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Ж</w:t>
            </w:r>
            <w:r>
              <w:rPr>
                <w:shd w:val="clear" w:color="auto" w:fill="ffffff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rPr/>
                <m:t>×</m:t>
              </m:r>
            </m:oMath>
            <w:r>
              <w:rPr>
                <w:shd w:val="clear" w:color="auto" w:fill="ffffff"/>
              </w:rPr>
              <w:t xml:space="preserve"> 100%</w:t>
            </w:r>
            <w:r>
              <w:rPr>
                <w:rFonts w:ascii="Times New Roman" w:hAnsi="Times New Roman" w:eastAsia="Calibri"/>
                <w:sz w:val="16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где: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Ж</w:t>
            </w:r>
            <w:r>
              <w:rPr>
                <w:rFonts w:ascii="Times New Roman" w:hAnsi="Times New Roman" w:eastAsia="Calibri"/>
                <w:position w:val="-2"/>
                <w:sz w:val="22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  <w:lang w:val="tt-RU"/>
              </w:rPr>
              <w:t xml:space="preserve">–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 число обоснованных жалоб родителей (законных представителей) </w:t>
            </w:r>
            <w:r>
              <w:rPr>
                <w:rFonts w:ascii="Times New Roman" w:hAnsi="Times New Roman" w:eastAsia="Calibri"/>
                <w:sz w:val="22"/>
                <w:szCs w:val="22"/>
                <w:shd w:val="clear" w:color="auto" w:fill="ffffff"/>
                <w:lang w:eastAsia="en-US" w:bidi="ar-SA"/>
              </w:rPr>
              <w:t xml:space="preserve">обучающихся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, поступивших в отчетный период;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Ж – общее число жалоб родителей (законных пред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ставителей) </w:t>
            </w:r>
            <w:r>
              <w:rPr>
                <w:rFonts w:ascii="Times New Roman" w:hAnsi="Times New Roman" w:eastAsia="Calibri"/>
                <w:sz w:val="22"/>
                <w:szCs w:val="22"/>
                <w:shd w:val="clear" w:color="auto" w:fill="ffffff"/>
                <w:lang w:eastAsia="en-US" w:bidi="ar-SA"/>
              </w:rPr>
              <w:t xml:space="preserve">обучающихся</w:t>
            </w:r>
            <w:r>
              <w:rPr>
                <w:rFonts w:ascii="Times New Roman" w:hAnsi="Times New Roman" w:eastAsia="Calibri"/>
                <w:sz w:val="22"/>
                <w:shd w:val="clear" w:color="auto" w:fill="ffffff"/>
              </w:rPr>
              <w:t xml:space="preserve">, поступивших в отчетный период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1039"/>
              <w:jc w:val="both"/>
              <w:widowControl w:val="off"/>
              <w:rPr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  <w:lang w:val="ru-RU"/>
              </w:rPr>
              <w:t xml:space="preserve">на основании анализа жалоб на образовательную организацию, поступивших в виде писем граждан (организаций) по почте либо электронной почте, и сведений о принятых по ним мерах</w:t>
            </w:r>
            <w:r>
              <w:rPr>
                <w:shd w:val="clear" w:color="auto" w:fill="ffffff"/>
                <w:lang w:val="ru-RU"/>
              </w:rPr>
            </w:r>
            <w:r>
              <w:rPr>
                <w:shd w:val="clear" w:color="auto" w:fill="ffffff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9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0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0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ind w:left="-27"/>
              <w:jc w:val="center"/>
              <w:widowControl w:val="off"/>
              <w:rPr>
                <w:rFonts w:ascii="Times New Roman" w:hAnsi="Times New Roman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5.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5" w:type="dxa"/>
            <w:textDirection w:val="lrTb"/>
            <w:noWrap w:val="false"/>
          </w:tcPr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Доля обучающихся,   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подтвердивших свои знания по результатам итоговой оценки качества освоения основной образовательной программы начального общего образования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9" w:type="dxa"/>
            <w:textDirection w:val="lrTb"/>
            <w:noWrap w:val="false"/>
          </w:tcPr>
          <w:p>
            <w:pPr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процентов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8" w:type="dxa"/>
            <w:textDirection w:val="lrTb"/>
            <w:noWrap w:val="false"/>
          </w:tcPr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A/B </w:t>
            </w:r>
            <m:oMath>
              <m:r>
                <w:rPr>
                  <w:rFonts w:ascii="Cambria Math" w:hAnsi="Cambria Math"/>
                </w:rPr>
                <m:rPr/>
                <m:t>×</m:t>
              </m:r>
            </m:oMath>
            <w:r>
              <w:rPr>
                <w:shd w:val="clear" w:color="auto" w:fill="ffffff"/>
              </w:rPr>
              <w:t xml:space="preserve"> 100%, 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где: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A – число обучающихся, подтвердивших 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свои  знания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 по результатам ито</w:t>
            </w: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говой оценки освоения образовательной программы начального общего образования в отчетный период;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  <w:p>
            <w:pPr>
              <w:ind w:left="-27"/>
              <w:jc w:val="both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B – общая численность обучающихся, завершивших освоение образовательной программы начального общего образования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0" w:type="dxa"/>
            <w:textDirection w:val="lrTb"/>
            <w:noWrap w:val="false"/>
          </w:tcPr>
          <w:p>
            <w:pPr>
              <w:pStyle w:val="1039"/>
              <w:jc w:val="both"/>
              <w:widowControl w:val="off"/>
              <w:rPr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результатам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мониторинга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  <w:lang w:val="en-US"/>
              </w:rPr>
              <w:t xml:space="preserve">9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95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hint="eastAsia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hd w:val="clear" w:color="auto" w:fill="ffffff"/>
              </w:rPr>
              <w:t xml:space="preserve">95</w:t>
            </w:r>
            <w:r>
              <w:rPr>
                <w:rFonts w:hint="eastAsia"/>
                <w:shd w:val="clear" w:color="auto" w:fill="ffffff"/>
              </w:rPr>
            </w:r>
            <w:r>
              <w:rPr>
                <w:rFonts w:hint="eastAsia"/>
                <w:shd w:val="clear" w:color="auto" w:fill="ffffff"/>
              </w:rPr>
            </w:r>
          </w:p>
        </w:tc>
      </w:tr>
    </w:tbl>
    <w:p>
      <w:pPr>
        <w:rPr>
          <w:rFonts w:hint="eastAsia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1843" w:right="567" w:bottom="720" w:left="1134" w:header="1134" w:footer="0" w:gutter="0"/>
          <w:cols w:num="1" w:sep="0" w:space="1701" w:equalWidth="1"/>
          <w:docGrid w:linePitch="360"/>
        </w:sectPr>
      </w:pPr>
      <w:r>
        <w:br w:type="page" w:clear="all"/>
      </w:r>
      <w:r>
        <w:rPr>
          <w:rFonts w:hint="eastAsia"/>
        </w:rPr>
      </w:r>
      <w:r>
        <w:rPr>
          <w:rFonts w:hint="eastAsia"/>
        </w:rPr>
      </w:r>
    </w:p>
    <w:p>
      <w:pPr>
        <w:pStyle w:val="1035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IV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Порядок подачи, регистрации и рассмотрения жалоб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несоблюдение Стандарта государственной услуги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rPr>
          <w:rFonts w:ascii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/>
          <w:sz w:val="28"/>
          <w:szCs w:val="28"/>
          <w:shd w:val="clear" w:color="auto" w:fill="ffffff"/>
        </w:rPr>
      </w:r>
      <w:r>
        <w:rPr>
          <w:rFonts w:ascii="Times New Roman" w:hAnsi="Times New Roman" w:eastAsia="Times New Roman"/>
          <w:sz w:val="28"/>
          <w:szCs w:val="28"/>
          <w:shd w:val="clear" w:color="auto" w:fill="ffffff"/>
        </w:rPr>
      </w:r>
      <w:r>
        <w:rPr>
          <w:rFonts w:ascii="Times New Roman" w:hAnsi="Times New Roman" w:eastAsia="Times New Roman"/>
          <w:sz w:val="28"/>
          <w:szCs w:val="28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/>
      <w:bookmarkStart w:id="5" w:name="sub_1121"/>
      <w:r/>
      <w:bookmarkEnd w:id="5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4.1.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Жалоба на нарушение порядка предоставления государственной услуги (далее – жалоба) подается родителями (законными представителями)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обучающихся  в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письменной форме на бумажном носителе или в электронной форме 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организации, осуществляющей образовательную де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ятельность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. Жалобы на решения и действия (бездействие) руководителя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организации, осуществляющей образовательную деятельность,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подаются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учредителю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4.2. Жалоба на решения и действия (бездействие) организации, осуществляющей образовательную деятельность, р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уководителя и работников организации, осуществляющей образовательную деятельность, может быть подана родителями (законными представителями) обучающихся по почте, с использованием официального сайта учредителя и организации, осуществляющей образовательную д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еятельность , единого портала государственных услуг Российской Федерации (www.gosuslugi.ru), либо портала государственных услуг Республики Татарстан (uslugi.tatarstan.ru), а также может быть принята при личном приеме родителей (законных представителей) обу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чающихся. 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4.3. Жалоба должна содержать: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наименование организации, осуществляющей образовательную деятельность и ее должностного лица;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фамилию, имя, отчество (посл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еднее - при наличии), сведения о месте жительства обучающегося и его родителей (законных представителей), а также номер (номера) контактного телефона, адрес (адреса) электронной почты (при наличии) и почтовый адрес, по которым должен быть направлен ответ; 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сведения об обжалуемых решениях и действиях (бездействии) организации, осуществляющей образовательную деятельность и ее должностного лица;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доводы, на основании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которых  родители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(законные представители) обучающихся не согласны с решением и действием (безд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ействием) организации, осуществляющей образовательную деятельность и ее должностного лица. Родителями (законными представителями) обучающихся могут быть представлены документы (при наличии), подтверждающие их доводы, либо копии указанных документов.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4.4.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Жалоба подлежит рассмотрению должностным лицом, наделенным полномочиями по рассмотрению жалоб, в течение 15 рабочих дней со дня ее регистрации.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Регистрация жалобы осуществляется не позднее трех календарных дней со дня поступления жалобы в соответствии с пр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авилами делопроизводства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организации, осуществляющей образовательную деятельность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В случае обжалования отказа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организации, осуществляющей образовательную деятельность,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должностного лица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организации, осуществляющей образовательную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деятельность,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в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приеме документов у получателя государственной услуги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4.5. По результатам рас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смотрения жалобы, организация, осуществляющая образовательную деятельность, принимает одно из следующих решений: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pStyle w:val="920"/>
        <w:rPr>
          <w:rFonts w:hint="eastAsia"/>
          <w:shd w:val="clear" w:color="auto" w:fill="ffffff"/>
        </w:rPr>
      </w:pPr>
      <w:r/>
      <w:bookmarkStart w:id="6" w:name="p_153"/>
      <w:r/>
      <w:bookmarkEnd w:id="6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ab/>
        <w:t xml:space="preserve">удовлетворяет жалобу;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pStyle w:val="920"/>
        <w:rPr>
          <w:rFonts w:hint="eastAsia"/>
          <w:shd w:val="clear" w:color="auto" w:fill="ffffff"/>
        </w:rPr>
      </w:pPr>
      <w:r/>
      <w:bookmarkStart w:id="7" w:name="p_154"/>
      <w:r/>
      <w:bookmarkEnd w:id="7"/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отказывает в удовлетворении жалобы.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4.6. </w:t>
      </w:r>
      <w:bookmarkStart w:id="8" w:name="p_155"/>
      <w:r/>
      <w:bookmarkEnd w:id="8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Не позднее дня, следующего за днем принятия решения, родителю (законному пред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ставителю) обучающегося в письменной форме и по их желанию в электронной форме направляется мотивированный ответ о результатах рассмотрения жалобы.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ab/>
        <w:t xml:space="preserve">4.7. В случае признания жалобы подлежащей удовлетворению в ответе родителям (законными представителями) об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учающихся дается информация о действиях, осуществляемых организацией, осуществляющей образовательную деятельность, в целях незамедлительного устранения выявленных нарушений при предоставлении государственной услуги и указывается информация о дальнейших дей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ствиях, которые необходимо совершить родителям (законными представителями) в целях получения государственной услуги.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4.8. В случае признания жалобы не подлежащей удовлетворению в ответе родителям (законными представителями) обучающихся даются аргументиров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анные разъяснения о причинах принятого решения, а также информация о порядке обжалования принятого решения.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709"/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4.9. В случае установления в ходе или по результатам рассмотрения жалобы признаков состава административного правонарушения или преступления должно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jc w:val="both"/>
        <w:rPr>
          <w:rFonts w:hint="eastAsia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4.10. </w:t>
      </w:r>
      <w:bookmarkStart w:id="9" w:name="p_143"/>
      <w:r/>
      <w:bookmarkEnd w:id="9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Рассмотрение обращений по вопросам оказания государственной услуги осуществляется в соответствии с Федеральным законом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 2 мая 2006 года № 59-ФЗ «О порядке рассмотрения обращений граждан Российской Федерации», Законом Республики Татарстан от 12 мая 2003 года № 16-ЗРТ «Об обращениях граждан в Республике Татарстан».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pStyle w:val="920"/>
        <w:ind w:firstLine="709"/>
        <w:rPr>
          <w:rFonts w:hint="eastAsia"/>
          <w:shd w:val="clear" w:color="auto" w:fill="ffffff"/>
        </w:rPr>
      </w:pPr>
      <w:r/>
      <w:bookmarkStart w:id="10" w:name="p_144"/>
      <w:r/>
      <w:bookmarkEnd w:id="10"/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В случае несогласия с результатами досудебного обжалования,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а также на любой стадии рассмотрения жалобы, родитель (законный представитель) обучающегося имеет право обратиться в суд согласно установленному действующим законодательством порядку.</w:t>
      </w:r>
      <w:r>
        <w:rPr>
          <w:rFonts w:hint="eastAsia"/>
          <w:shd w:val="clear" w:color="auto" w:fill="ffffff"/>
        </w:rPr>
      </w:r>
      <w:r>
        <w:rPr>
          <w:rFonts w:hint="eastAsia"/>
          <w:shd w:val="clear" w:color="auto" w:fill="ffffff"/>
        </w:rPr>
      </w:r>
    </w:p>
    <w:p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rFonts w:ascii="Times New Roman" w:hAnsi="Times New Roman"/>
          <w:sz w:val="28"/>
          <w:szCs w:val="28"/>
          <w:shd w:val="clear" w:color="auto" w:fill="ffffff"/>
        </w:rPr>
      </w:r>
    </w:p>
    <w:p>
      <w:pPr>
        <w:pStyle w:val="1035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V. Порядок контроля за предоставлением государственной услуги со 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ороны органов государственной власти 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5.1. Контроль за соблюдением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организации, осуществляющей образовательную деятельность,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предусмотренных лицензией на осуществление образовательной деятельности условий обеспечивает Министерство образования и науки Рес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публики Татарстан, выдавшее лицензию.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5.2. Контроль за предоставлением государственной услуги со стороны органов государственной власти осуществляется в соответствии с постановлением Кабинета Министров Республики Татарстан от 30.06.2009 № 446 «О Порядке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роведения оценки соответствия качества фактически предоставляемых государственных услуг установленным стандартам качества государственных услуг, оказываемых государственными учреждениями Республики Татарстан».</w:t>
      </w:r>
      <w:r>
        <w:rPr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35"/>
        <w:ind w:firstLine="709"/>
        <w:jc w:val="both"/>
      </w:pP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pStyle w:val="1035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VI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Информация о предоставлении государственной услуги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плату или бесплатно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6.1. Государственная услуга предоставляется бесплатно.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1035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  <w:r>
        <w:rPr>
          <w:shd w:val="clear" w:color="auto" w:fill="ffffff"/>
        </w:rPr>
      </w:r>
    </w:p>
    <w:sectPr>
      <w:headerReference w:type="default" r:id="rId11"/>
      <w:headerReference w:type="first" r:id="rId12"/>
      <w:footnotePr/>
      <w:endnotePr/>
      <w:type w:val="nextPage"/>
      <w:pgSz w:w="11906" w:h="16838" w:orient="portrait"/>
      <w:pgMar w:top="1843" w:right="567" w:bottom="720" w:left="1134" w:header="1134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rPr>
          <w:rFonts w:hint="eastAsia"/>
        </w:rPr>
      </w:pPr>
      <w:r>
        <w:separator/>
      </w:r>
      <w:r>
        <w:rPr>
          <w:rFonts w:hint="eastAsia"/>
        </w:rPr>
      </w:r>
      <w:r>
        <w:rPr>
          <w:rFonts w:hint="eastAsia"/>
        </w:rPr>
      </w:r>
    </w:p>
  </w:endnote>
  <w:endnote w:type="continuationSeparator" w:id="0">
    <w:p>
      <w:pPr>
        <w:rPr>
          <w:rFonts w:hint="eastAsia"/>
        </w:rPr>
      </w:pPr>
      <w:r>
        <w:continuationSeparator/>
      </w:r>
      <w:r>
        <w:rPr>
          <w:rFonts w:hint="eastAsia"/>
        </w:rPr>
      </w:r>
      <w:r>
        <w:rPr>
          <w:rFonts w:hint="eastAsia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Liberation Mono">
    <w:panose1 w:val="02070409020205020404"/>
  </w:font>
  <w:font w:name="Courier New">
    <w:panose1 w:val="02070309020205020404"/>
  </w:font>
  <w:font w:name="Lohit Devanagari">
    <w:panose1 w:val="02000603000000000000"/>
  </w:font>
  <w:font w:name="Mangal">
    <w:panose1 w:val="02040503050306020203"/>
  </w:font>
  <w:font w:name="OpenSymbol">
    <w:panose1 w:val="05010000000000000000"/>
  </w:font>
  <w:font w:name="PT Astra Serif">
    <w:panose1 w:val="020A0603040505020204"/>
  </w:font>
  <w:font w:name="Arial">
    <w:panose1 w:val="020B0604020202020204"/>
  </w:font>
  <w:font w:name="SimSun">
    <w:panose1 w:val="02000506000000020000"/>
  </w:font>
  <w:font w:name="Tahoma">
    <w:panose1 w:val="020B0604030504040204"/>
  </w:font>
  <w:font w:name="Cambria Math">
    <w:panose1 w:val="02000603000000000000"/>
  </w:font>
  <w:font w:name="TimesNewRomanCYR">
    <w:panose1 w:val="02020603050405020304"/>
  </w:font>
  <w:font w:name="Source Han Sans CN Regular">
    <w:panose1 w:val="02000603000000000000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rFonts w:hint="eastAsia"/>
        </w:rPr>
      </w:pPr>
      <w:r>
        <w:separator/>
      </w:r>
      <w:r>
        <w:rPr>
          <w:rFonts w:hint="eastAsia"/>
        </w:rPr>
      </w:r>
      <w:r>
        <w:rPr>
          <w:rFonts w:hint="eastAsia"/>
        </w:rPr>
      </w:r>
    </w:p>
  </w:footnote>
  <w:footnote w:type="continuationSeparator" w:id="0">
    <w:p>
      <w:pPr>
        <w:rPr>
          <w:rFonts w:hint="eastAsia"/>
        </w:rPr>
      </w:pPr>
      <w:r>
        <w:continuationSeparator/>
      </w:r>
      <w:r>
        <w:rPr>
          <w:rFonts w:hint="eastAsia"/>
        </w:rPr>
      </w:r>
      <w:r>
        <w:rPr>
          <w:rFonts w:hint="eastAsia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4"/>
      <w:jc w:val="center"/>
      <w:rPr>
        <w:rFonts w:hint="eastAsia"/>
      </w:rPr>
    </w:pPr>
    <w:r>
      <w:rPr>
        <w:rFonts w:hint="eastAsia"/>
      </w:rPr>
    </w:r>
    <w:r>
      <w:rPr>
        <w:rFonts w:hint="eastAsia"/>
      </w:rPr>
    </w:r>
    <w:r>
      <w:rPr>
        <w:rFonts w:hint="eastAsia"/>
      </w:rPr>
    </w:r>
  </w:p>
  <w:p>
    <w:pPr>
      <w:pStyle w:val="1014"/>
      <w:jc w:val="center"/>
      <w:rPr>
        <w:rFonts w:hint="eastAsia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rFonts w:hint="eastAsia"/>
      </w:rPr>
      <w:t xml:space="preserve">24</w:t>
    </w:r>
    <w:r>
      <w:fldChar w:fldCharType="end"/>
    </w:r>
    <w:r>
      <w:rPr>
        <w:rFonts w:hint="eastAsia"/>
      </w:rPr>
    </w:r>
    <w:r>
      <w:rPr>
        <w:rFonts w:hint="eastAsia"/>
      </w:rPr>
    </w:r>
  </w:p>
  <w:p>
    <w:pPr>
      <w:pStyle w:val="1014"/>
      <w:rPr>
        <w:rFonts w:hint="eastAsia"/>
      </w:rPr>
    </w:pPr>
    <w:r>
      <w:rPr>
        <w:rFonts w:hint="eastAsia"/>
      </w:rPr>
    </w:r>
    <w:r>
      <w:rPr>
        <w:rFonts w:hint="eastAsia"/>
      </w:rPr>
    </w:r>
    <w:r>
      <w:rPr>
        <w:rFonts w:hint="eastAsia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4"/>
      <w:rPr>
        <w:rFonts w:hint="eastAsia"/>
      </w:rPr>
    </w:pPr>
    <w:r>
      <w:t xml:space="preserve"> </w:t>
    </w:r>
    <w:r>
      <w:rPr>
        <w:rFonts w:hint="eastAsia"/>
      </w:rPr>
    </w:r>
    <w:r>
      <w:rPr>
        <w:rFonts w:hint="eastAsia"/>
      </w:rPr>
    </w:r>
  </w:p>
  <w:p>
    <w:pPr>
      <w:pStyle w:val="1014"/>
      <w:rPr>
        <w:rFonts w:hint="eastAsia"/>
      </w:rPr>
    </w:pPr>
    <w:r>
      <w:rPr>
        <w:rFonts w:hint="eastAsia"/>
      </w:rPr>
    </w:r>
    <w:r>
      <w:rPr>
        <w:rFonts w:hint="eastAsia"/>
      </w:rPr>
    </w:r>
    <w:r>
      <w:rPr>
        <w:rFonts w:hint="eastAsia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4"/>
      <w:jc w:val="center"/>
      <w:rPr>
        <w:rFonts w:hint="eastAsia"/>
      </w:rPr>
    </w:pPr>
    <w:r>
      <w:fldChar w:fldCharType="begin"/>
    </w:r>
    <w:r>
      <w:instrText xml:space="preserve">PAGE \* MERGEFORMAT</w:instrText>
    </w:r>
    <w:r>
      <w:rPr>
        <w:rFonts w:hint="eastAsia"/>
      </w:rPr>
      <w:fldChar w:fldCharType="separate"/>
    </w:r>
    <w:r>
      <w:rPr>
        <w:rFonts w:hint="eastAsia"/>
      </w:rPr>
      <w:t xml:space="preserve">29</w:t>
    </w:r>
    <w:r>
      <w:fldChar w:fldCharType="end"/>
    </w:r>
    <w:r>
      <w:rPr>
        <w:rFonts w:hint="eastAsia"/>
      </w:rPr>
    </w:r>
    <w:r>
      <w:rPr>
        <w:rFonts w:hint="eastAsia"/>
      </w:rPr>
    </w:r>
  </w:p>
  <w:p>
    <w:pPr>
      <w:pStyle w:val="1014"/>
      <w:rPr>
        <w:rFonts w:hint="eastAsia"/>
      </w:rPr>
    </w:pPr>
    <w:r>
      <w:rPr>
        <w:rFonts w:hint="eastAsia"/>
      </w:rPr>
    </w:r>
    <w:r>
      <w:rPr>
        <w:rFonts w:hint="eastAsia"/>
      </w:rPr>
    </w:r>
    <w:r>
      <w:rPr>
        <w:rFonts w:hint="eastAsia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rFonts w:hint="eastAsia"/>
      </w:rPr>
    </w:pPr>
    <w:r>
      <w:rPr>
        <w:rFonts w:hint="eastAsia"/>
      </w:rPr>
    </w:r>
    <w:r>
      <w:rPr>
        <w:rFonts w:hint="eastAsia"/>
      </w:rPr>
    </w:r>
    <w:r>
      <w:rPr>
        <w:rFonts w:hint="eastAsia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%1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pStyle w:val="748"/>
      <w:isLgl w:val="false"/>
      <w:suff w:val="nothing"/>
      <w:lvlText w:val="%2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pStyle w:val="749"/>
      <w:isLgl w:val="false"/>
      <w:suff w:val="nothing"/>
      <w:lvlText w:val="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pStyle w:val="750"/>
      <w:isLgl w:val="false"/>
      <w:suff w:val="nothing"/>
      <w:lvlText w:val="%4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751"/>
      <w:isLgl w:val="false"/>
      <w:suff w:val="nothing"/>
      <w:lvlText w:val="%5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pStyle w:val="752"/>
      <w:isLgl w:val="false"/>
      <w:suff w:val="nothing"/>
      <w:lvlText w:val="%6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pStyle w:val="753"/>
      <w:isLgl w:val="false"/>
      <w:suff w:val="nothing"/>
      <w:lvlText w:val="%7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pStyle w:val="754"/>
      <w:isLgl w:val="false"/>
      <w:suff w:val="nothing"/>
      <w:lvlText w:val="%8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pStyle w:val="755"/>
      <w:isLgl w:val="false"/>
      <w:suff w:val="nothing"/>
      <w:lvlText w:val="%9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SimSun" w:cs="Tahoma"/>
        <w:color w:val="000000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 w:default="1">
    <w:name w:val="Normal"/>
    <w:qFormat/>
  </w:style>
  <w:style w:type="paragraph" w:styleId="747">
    <w:name w:val="Heading 1"/>
    <w:basedOn w:val="746"/>
    <w:next w:val="746"/>
    <w:link w:val="7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8">
    <w:name w:val="Heading 2"/>
    <w:basedOn w:val="919"/>
    <w:qFormat/>
    <w:pPr>
      <w:numPr>
        <w:ilvl w:val="1"/>
        <w:numId w:val="1"/>
      </w:numPr>
      <w:outlineLvl w:val="1"/>
    </w:pPr>
  </w:style>
  <w:style w:type="paragraph" w:styleId="749">
    <w:name w:val="Heading 3"/>
    <w:basedOn w:val="919"/>
    <w:qFormat/>
    <w:pPr>
      <w:numPr>
        <w:ilvl w:val="2"/>
        <w:numId w:val="1"/>
      </w:numPr>
      <w:outlineLvl w:val="2"/>
    </w:pPr>
  </w:style>
  <w:style w:type="paragraph" w:styleId="750">
    <w:name w:val="Heading 4"/>
    <w:basedOn w:val="919"/>
    <w:qFormat/>
    <w:pPr>
      <w:numPr>
        <w:ilvl w:val="3"/>
        <w:numId w:val="1"/>
      </w:numPr>
      <w:outlineLvl w:val="3"/>
    </w:pPr>
  </w:style>
  <w:style w:type="paragraph" w:styleId="751">
    <w:name w:val="Heading 5"/>
    <w:basedOn w:val="919"/>
    <w:qFormat/>
    <w:pPr>
      <w:numPr>
        <w:ilvl w:val="4"/>
        <w:numId w:val="1"/>
      </w:numPr>
      <w:outlineLvl w:val="4"/>
    </w:pPr>
  </w:style>
  <w:style w:type="paragraph" w:styleId="752">
    <w:name w:val="Heading 6"/>
    <w:basedOn w:val="919"/>
    <w:qFormat/>
    <w:pPr>
      <w:numPr>
        <w:ilvl w:val="5"/>
        <w:numId w:val="1"/>
      </w:numPr>
      <w:outlineLvl w:val="5"/>
    </w:pPr>
  </w:style>
  <w:style w:type="paragraph" w:styleId="753">
    <w:name w:val="Heading 7"/>
    <w:basedOn w:val="919"/>
    <w:qFormat/>
    <w:pPr>
      <w:numPr>
        <w:ilvl w:val="6"/>
        <w:numId w:val="1"/>
      </w:numPr>
      <w:outlineLvl w:val="6"/>
    </w:pPr>
  </w:style>
  <w:style w:type="paragraph" w:styleId="754">
    <w:name w:val="Heading 8"/>
    <w:basedOn w:val="919"/>
    <w:qFormat/>
    <w:pPr>
      <w:numPr>
        <w:ilvl w:val="7"/>
        <w:numId w:val="1"/>
      </w:numPr>
      <w:outlineLvl w:val="7"/>
    </w:pPr>
  </w:style>
  <w:style w:type="paragraph" w:styleId="755">
    <w:name w:val="Heading 9"/>
    <w:basedOn w:val="919"/>
    <w:qFormat/>
    <w:pPr>
      <w:numPr>
        <w:ilvl w:val="8"/>
        <w:numId w:val="1"/>
      </w:numPr>
      <w:outlineLvl w:val="8"/>
    </w:pPr>
  </w:style>
  <w:style w:type="character" w:styleId="756" w:default="1">
    <w:name w:val="Default Paragraph Font"/>
    <w:uiPriority w:val="1"/>
    <w:semiHidden/>
    <w:unhideWhenUsed/>
  </w:style>
  <w:style w:type="table" w:styleId="7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8" w:default="1">
    <w:name w:val="No List"/>
    <w:uiPriority w:val="99"/>
    <w:semiHidden/>
    <w:unhideWhenUsed/>
  </w:style>
  <w:style w:type="character" w:styleId="759" w:customStyle="1">
    <w:name w:val="Heading 1 Char"/>
    <w:basedOn w:val="756"/>
    <w:uiPriority w:val="9"/>
    <w:rPr>
      <w:rFonts w:ascii="Arial" w:hAnsi="Arial" w:eastAsia="Arial" w:cs="Arial"/>
      <w:sz w:val="40"/>
      <w:szCs w:val="40"/>
    </w:rPr>
  </w:style>
  <w:style w:type="character" w:styleId="760" w:customStyle="1">
    <w:name w:val="Quote Char"/>
    <w:uiPriority w:val="29"/>
    <w:rPr>
      <w:i/>
    </w:rPr>
  </w:style>
  <w:style w:type="character" w:styleId="761" w:customStyle="1">
    <w:name w:val="Intense Quote Char"/>
    <w:uiPriority w:val="30"/>
    <w:rPr>
      <w:i/>
    </w:rPr>
  </w:style>
  <w:style w:type="character" w:styleId="762" w:customStyle="1">
    <w:name w:val="Title Char"/>
    <w:basedOn w:val="756"/>
    <w:uiPriority w:val="10"/>
    <w:qFormat/>
    <w:rPr>
      <w:sz w:val="48"/>
      <w:szCs w:val="48"/>
    </w:rPr>
  </w:style>
  <w:style w:type="character" w:styleId="763">
    <w:name w:val="Intense Emphasis"/>
    <w:basedOn w:val="756"/>
    <w:uiPriority w:val="21"/>
    <w:qFormat/>
    <w:rPr>
      <w:i/>
      <w:iCs/>
      <w:color w:val="365f91" w:themeColor="accent1" w:themeShade="BF"/>
    </w:rPr>
  </w:style>
  <w:style w:type="character" w:styleId="764">
    <w:name w:val="Intense Reference"/>
    <w:basedOn w:val="756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765">
    <w:name w:val="Subtle Emphasis"/>
    <w:basedOn w:val="756"/>
    <w:uiPriority w:val="19"/>
    <w:qFormat/>
    <w:rPr>
      <w:i/>
      <w:iCs/>
      <w:color w:val="404040" w:themeColor="text1" w:themeTint="BF"/>
    </w:rPr>
  </w:style>
  <w:style w:type="character" w:styleId="766">
    <w:name w:val="Emphasis"/>
    <w:qFormat/>
    <w:rPr>
      <w:i/>
    </w:rPr>
  </w:style>
  <w:style w:type="character" w:styleId="767">
    <w:name w:val="Subtle Reference"/>
    <w:basedOn w:val="756"/>
    <w:uiPriority w:val="31"/>
    <w:qFormat/>
    <w:rPr>
      <w:smallCaps/>
      <w:color w:val="5a5a5a" w:themeColor="text1" w:themeTint="A5"/>
    </w:rPr>
  </w:style>
  <w:style w:type="character" w:styleId="768">
    <w:name w:val="Book Title"/>
    <w:basedOn w:val="756"/>
    <w:uiPriority w:val="33"/>
    <w:qFormat/>
    <w:rPr>
      <w:b/>
      <w:bCs/>
      <w:i/>
      <w:iCs/>
      <w:spacing w:val="5"/>
    </w:rPr>
  </w:style>
  <w:style w:type="character" w:styleId="769" w:customStyle="1">
    <w:name w:val="Заголовок 1 Знак"/>
    <w:link w:val="747"/>
    <w:qFormat/>
    <w:rPr>
      <w:rFonts w:ascii="Arial" w:hAnsi="Arial" w:eastAsia="Arial" w:cs="Arial"/>
      <w:sz w:val="40"/>
    </w:rPr>
  </w:style>
  <w:style w:type="character" w:styleId="770" w:customStyle="1">
    <w:name w:val="Heading 2 Char"/>
    <w:qFormat/>
    <w:rPr>
      <w:rFonts w:ascii="Arial" w:hAnsi="Arial" w:eastAsia="Arial" w:cs="Arial"/>
      <w:sz w:val="34"/>
    </w:rPr>
  </w:style>
  <w:style w:type="character" w:styleId="771" w:customStyle="1">
    <w:name w:val="Heading 3 Char"/>
    <w:qFormat/>
    <w:rPr>
      <w:rFonts w:ascii="Arial" w:hAnsi="Arial" w:eastAsia="Arial" w:cs="Arial"/>
      <w:sz w:val="30"/>
    </w:rPr>
  </w:style>
  <w:style w:type="character" w:styleId="772" w:customStyle="1">
    <w:name w:val="Heading 4 Char"/>
    <w:qFormat/>
    <w:rPr>
      <w:rFonts w:ascii="Arial" w:hAnsi="Arial" w:eastAsia="Arial" w:cs="Arial"/>
      <w:b/>
      <w:sz w:val="26"/>
    </w:rPr>
  </w:style>
  <w:style w:type="character" w:styleId="773" w:customStyle="1">
    <w:name w:val="Heading 5 Char"/>
    <w:qFormat/>
    <w:rPr>
      <w:rFonts w:ascii="Arial" w:hAnsi="Arial" w:eastAsia="Arial" w:cs="Arial"/>
      <w:b/>
      <w:sz w:val="24"/>
    </w:rPr>
  </w:style>
  <w:style w:type="character" w:styleId="774" w:customStyle="1">
    <w:name w:val="Heading 6 Char"/>
    <w:qFormat/>
    <w:rPr>
      <w:rFonts w:ascii="Arial" w:hAnsi="Arial" w:eastAsia="Arial" w:cs="Arial"/>
      <w:b/>
      <w:sz w:val="22"/>
    </w:rPr>
  </w:style>
  <w:style w:type="character" w:styleId="775" w:customStyle="1">
    <w:name w:val="Heading 7 Char"/>
    <w:qFormat/>
    <w:rPr>
      <w:rFonts w:ascii="Arial" w:hAnsi="Arial" w:eastAsia="Arial" w:cs="Arial"/>
      <w:b/>
      <w:i/>
      <w:sz w:val="22"/>
    </w:rPr>
  </w:style>
  <w:style w:type="character" w:styleId="776" w:customStyle="1">
    <w:name w:val="Heading 8 Char"/>
    <w:qFormat/>
    <w:rPr>
      <w:rFonts w:ascii="Arial" w:hAnsi="Arial" w:eastAsia="Arial" w:cs="Arial"/>
      <w:i/>
      <w:sz w:val="22"/>
    </w:rPr>
  </w:style>
  <w:style w:type="character" w:styleId="777" w:customStyle="1">
    <w:name w:val="Heading 9 Char"/>
    <w:qFormat/>
    <w:rPr>
      <w:rFonts w:ascii="Arial" w:hAnsi="Arial" w:eastAsia="Arial" w:cs="Arial"/>
      <w:i/>
      <w:sz w:val="21"/>
    </w:rPr>
  </w:style>
  <w:style w:type="character" w:styleId="778" w:customStyle="1">
    <w:name w:val="Заголовок Знак"/>
    <w:link w:val="919"/>
    <w:qFormat/>
    <w:rPr>
      <w:sz w:val="48"/>
    </w:rPr>
  </w:style>
  <w:style w:type="character" w:styleId="779" w:customStyle="1">
    <w:name w:val="Subtitle Char"/>
    <w:qFormat/>
    <w:rPr>
      <w:sz w:val="24"/>
    </w:rPr>
  </w:style>
  <w:style w:type="character" w:styleId="780" w:customStyle="1">
    <w:name w:val="Цитата 2 Знак"/>
    <w:link w:val="925"/>
    <w:qFormat/>
    <w:rPr>
      <w:i/>
    </w:rPr>
  </w:style>
  <w:style w:type="character" w:styleId="781" w:customStyle="1">
    <w:name w:val="Выделенная цитата Знак"/>
    <w:link w:val="927"/>
    <w:qFormat/>
    <w:rPr>
      <w:i/>
    </w:rPr>
  </w:style>
  <w:style w:type="character" w:styleId="782" w:customStyle="1">
    <w:name w:val="Header Char"/>
    <w:qFormat/>
  </w:style>
  <w:style w:type="character" w:styleId="783" w:customStyle="1">
    <w:name w:val="Footer Char"/>
    <w:qFormat/>
  </w:style>
  <w:style w:type="character" w:styleId="784" w:customStyle="1">
    <w:name w:val="Caption Char"/>
    <w:qFormat/>
  </w:style>
  <w:style w:type="character" w:styleId="785">
    <w:name w:val="Hyperlink"/>
    <w:rPr>
      <w:color w:val="000080"/>
      <w:u w:val="single"/>
    </w:rPr>
  </w:style>
  <w:style w:type="character" w:styleId="786" w:customStyle="1">
    <w:name w:val="Footnote Text Char"/>
    <w:qFormat/>
    <w:rPr>
      <w:sz w:val="18"/>
    </w:rPr>
  </w:style>
  <w:style w:type="character" w:styleId="787" w:customStyle="1">
    <w:name w:val="Символ сноски"/>
    <w:qFormat/>
    <w:rPr>
      <w:vertAlign w:val="superscript"/>
    </w:rPr>
  </w:style>
  <w:style w:type="character" w:styleId="788">
    <w:name w:val="footnote reference"/>
    <w:rPr>
      <w:vertAlign w:val="superscript"/>
    </w:rPr>
  </w:style>
  <w:style w:type="character" w:styleId="789" w:customStyle="1">
    <w:name w:val="Endnote Text Char"/>
    <w:qFormat/>
    <w:rPr>
      <w:sz w:val="20"/>
    </w:rPr>
  </w:style>
  <w:style w:type="character" w:styleId="790" w:customStyle="1">
    <w:name w:val="Символ концевой сноски"/>
    <w:qFormat/>
    <w:rPr>
      <w:vertAlign w:val="superscript"/>
    </w:rPr>
  </w:style>
  <w:style w:type="character" w:styleId="791">
    <w:name w:val="endnote reference"/>
    <w:rPr>
      <w:vertAlign w:val="superscript"/>
    </w:rPr>
  </w:style>
  <w:style w:type="character" w:styleId="792" w:customStyle="1">
    <w:name w:val="Символ нумерации"/>
    <w:qFormat/>
  </w:style>
  <w:style w:type="character" w:styleId="793" w:customStyle="1">
    <w:name w:val="Маркеры"/>
    <w:qFormat/>
    <w:rPr>
      <w:rFonts w:ascii="OpenSymbol" w:hAnsi="OpenSymbol" w:eastAsia="OpenSymbol" w:cs="OpenSymbol"/>
    </w:rPr>
  </w:style>
  <w:style w:type="character" w:styleId="794">
    <w:name w:val="page number"/>
    <w:qFormat/>
  </w:style>
  <w:style w:type="character" w:styleId="795" w:customStyle="1">
    <w:name w:val="Символы названия"/>
    <w:qFormat/>
  </w:style>
  <w:style w:type="character" w:styleId="796" w:customStyle="1">
    <w:name w:val="Буквица"/>
    <w:qFormat/>
  </w:style>
  <w:style w:type="character" w:styleId="797">
    <w:name w:val="FollowedHyperlink"/>
    <w:rPr>
      <w:color w:val="800000"/>
      <w:u w:val="single"/>
    </w:rPr>
  </w:style>
  <w:style w:type="character" w:styleId="798" w:customStyle="1">
    <w:name w:val="Заполнитель"/>
    <w:qFormat/>
    <w:rPr>
      <w:smallCaps/>
      <w:color w:val="008080"/>
      <w:u w:val="single"/>
    </w:rPr>
  </w:style>
  <w:style w:type="character" w:styleId="799" w:customStyle="1">
    <w:name w:val="Ссылка указателя"/>
    <w:qFormat/>
  </w:style>
  <w:style w:type="character" w:styleId="800">
    <w:name w:val="line number"/>
    <w:qFormat/>
  </w:style>
  <w:style w:type="character" w:styleId="801" w:customStyle="1">
    <w:name w:val="Основной элемент указателя"/>
    <w:qFormat/>
    <w:rPr>
      <w:b/>
    </w:rPr>
  </w:style>
  <w:style w:type="character" w:styleId="802" w:customStyle="1">
    <w:name w:val="Фуригана"/>
    <w:qFormat/>
    <w:rPr>
      <w:sz w:val="12"/>
      <w:u w:val="none"/>
    </w:rPr>
  </w:style>
  <w:style w:type="character" w:styleId="803" w:customStyle="1">
    <w:name w:val="Вертикальное направление символов"/>
    <w:qFormat/>
  </w:style>
  <w:style w:type="character" w:styleId="804" w:customStyle="1">
    <w:name w:val="Цитата1"/>
    <w:qFormat/>
    <w:rPr>
      <w:i/>
    </w:rPr>
  </w:style>
  <w:style w:type="character" w:styleId="805">
    <w:name w:val="Strong"/>
    <w:qFormat/>
    <w:rPr>
      <w:b/>
    </w:rPr>
  </w:style>
  <w:style w:type="character" w:styleId="806" w:customStyle="1">
    <w:name w:val="Исходный текст"/>
    <w:qFormat/>
    <w:rPr>
      <w:rFonts w:ascii="Liberation Mono" w:hAnsi="Liberation Mono" w:eastAsia="Liberation Mono" w:cs="Liberation Mono"/>
    </w:rPr>
  </w:style>
  <w:style w:type="character" w:styleId="807" w:customStyle="1">
    <w:name w:val="Пример"/>
    <w:qFormat/>
    <w:rPr>
      <w:rFonts w:ascii="Liberation Mono" w:hAnsi="Liberation Mono" w:eastAsia="Liberation Mono" w:cs="Liberation Mono"/>
    </w:rPr>
  </w:style>
  <w:style w:type="character" w:styleId="808" w:customStyle="1">
    <w:name w:val="Ввод пользователя"/>
    <w:qFormat/>
    <w:rPr>
      <w:rFonts w:ascii="Liberation Mono" w:hAnsi="Liberation Mono" w:eastAsia="Liberation Mono" w:cs="Liberation Mono"/>
    </w:rPr>
  </w:style>
  <w:style w:type="character" w:styleId="809" w:customStyle="1">
    <w:name w:val="Переменная"/>
    <w:qFormat/>
    <w:rPr>
      <w:i/>
    </w:rPr>
  </w:style>
  <w:style w:type="character" w:styleId="810" w:customStyle="1">
    <w:name w:val="Определение"/>
    <w:qFormat/>
  </w:style>
  <w:style w:type="character" w:styleId="811" w:customStyle="1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812" w:customStyle="1">
    <w:name w:val="T1"/>
    <w:qFormat/>
    <w:rPr>
      <w:rFonts w:ascii="OpenSymbol" w:hAnsi="OpenSymbol" w:eastAsia="OpenSymbol" w:cs="OpenSymbol"/>
    </w:rPr>
  </w:style>
  <w:style w:type="character" w:styleId="813" w:customStyle="1">
    <w:name w:val="T2"/>
    <w:qFormat/>
    <w:rPr>
      <w:rFonts w:ascii="OpenSymbol" w:hAnsi="OpenSymbol" w:eastAsia="OpenSymbol" w:cs="OpenSymbol"/>
    </w:rPr>
  </w:style>
  <w:style w:type="character" w:styleId="814" w:customStyle="1">
    <w:name w:val="T3"/>
    <w:qFormat/>
    <w:rPr>
      <w:rFonts w:ascii="OpenSymbol" w:hAnsi="OpenSymbol" w:eastAsia="OpenSymbol" w:cs="OpenSymbol"/>
    </w:rPr>
  </w:style>
  <w:style w:type="character" w:styleId="815" w:customStyle="1">
    <w:name w:val="T4"/>
    <w:qFormat/>
    <w:rPr>
      <w:rFonts w:ascii="OpenSymbol" w:hAnsi="OpenSymbol" w:eastAsia="OpenSymbol" w:cs="OpenSymbol"/>
    </w:rPr>
  </w:style>
  <w:style w:type="character" w:styleId="816" w:customStyle="1">
    <w:name w:val="T5"/>
    <w:qFormat/>
    <w:rPr>
      <w:rFonts w:ascii="OpenSymbol" w:hAnsi="OpenSymbol" w:eastAsia="OpenSymbol" w:cs="OpenSymbol"/>
    </w:rPr>
  </w:style>
  <w:style w:type="character" w:styleId="817" w:customStyle="1">
    <w:name w:val="T6"/>
    <w:qFormat/>
    <w:rPr>
      <w:rFonts w:ascii="OpenSymbol" w:hAnsi="OpenSymbol" w:eastAsia="OpenSymbol" w:cs="OpenSymbol"/>
    </w:rPr>
  </w:style>
  <w:style w:type="character" w:styleId="818" w:customStyle="1">
    <w:name w:val="T7"/>
    <w:qFormat/>
    <w:rPr>
      <w:rFonts w:ascii="PT Astra Serif" w:hAnsi="PT Astra Serif" w:eastAsia="PT Astra Serif" w:cs="PT Astra Serif"/>
    </w:rPr>
  </w:style>
  <w:style w:type="character" w:styleId="819" w:customStyle="1">
    <w:name w:val="T8"/>
    <w:qFormat/>
    <w:rPr>
      <w:rFonts w:ascii="PT Astra Serif" w:hAnsi="PT Astra Serif" w:eastAsia="PT Astra Serif" w:cs="PT Astra Serif"/>
    </w:rPr>
  </w:style>
  <w:style w:type="character" w:styleId="820" w:customStyle="1">
    <w:name w:val="T9"/>
    <w:qFormat/>
    <w:rPr>
      <w:rFonts w:ascii="PT Astra Serif" w:hAnsi="PT Astra Serif" w:eastAsia="PT Astra Serif" w:cs="PT Astra Serif"/>
    </w:rPr>
  </w:style>
  <w:style w:type="character" w:styleId="821" w:customStyle="1">
    <w:name w:val="T10"/>
    <w:qFormat/>
    <w:rPr>
      <w:rFonts w:ascii="PT Astra Serif" w:hAnsi="PT Astra Serif" w:eastAsia="PT Astra Serif" w:cs="PT Astra Serif"/>
    </w:rPr>
  </w:style>
  <w:style w:type="character" w:styleId="822" w:customStyle="1">
    <w:name w:val="T11"/>
    <w:qFormat/>
    <w:rPr>
      <w:rFonts w:ascii="PT Astra Serif" w:hAnsi="PT Astra Serif" w:eastAsia="PT Astra Serif" w:cs="PT Astra Serif"/>
    </w:rPr>
  </w:style>
  <w:style w:type="character" w:styleId="823" w:customStyle="1">
    <w:name w:val="T12"/>
    <w:qFormat/>
    <w:rPr>
      <w:rFonts w:ascii="PT Astra Serif" w:hAnsi="PT Astra Serif" w:eastAsia="PT Astra Serif" w:cs="PT Astra Serif"/>
    </w:rPr>
  </w:style>
  <w:style w:type="character" w:styleId="824" w:customStyle="1">
    <w:name w:val="T13"/>
    <w:qFormat/>
    <w:rPr>
      <w:rFonts w:ascii="PT Astra Serif" w:hAnsi="PT Astra Serif" w:eastAsia="PT Astra Serif" w:cs="PT Astra Serif"/>
    </w:rPr>
  </w:style>
  <w:style w:type="character" w:styleId="825" w:customStyle="1">
    <w:name w:val="T14"/>
    <w:qFormat/>
    <w:rPr>
      <w:rFonts w:ascii="PT Astra Serif" w:hAnsi="PT Astra Serif" w:eastAsia="PT Astra Serif" w:cs="PT Astra Serif"/>
    </w:rPr>
  </w:style>
  <w:style w:type="character" w:styleId="826" w:customStyle="1">
    <w:name w:val="T15"/>
    <w:qFormat/>
    <w:rPr>
      <w:rFonts w:ascii="PT Astra Serif" w:hAnsi="PT Astra Serif" w:eastAsia="PT Astra Serif" w:cs="PT Astra Serif"/>
    </w:rPr>
  </w:style>
  <w:style w:type="character" w:styleId="827" w:customStyle="1">
    <w:name w:val="T16"/>
    <w:qFormat/>
    <w:rPr>
      <w:rFonts w:ascii="OpenSymbol" w:hAnsi="OpenSymbol" w:eastAsia="OpenSymbol" w:cs="OpenSymbol"/>
    </w:rPr>
  </w:style>
  <w:style w:type="character" w:styleId="828" w:customStyle="1">
    <w:name w:val="T17"/>
    <w:qFormat/>
    <w:rPr>
      <w:rFonts w:ascii="OpenSymbol" w:hAnsi="OpenSymbol" w:eastAsia="OpenSymbol" w:cs="OpenSymbol"/>
    </w:rPr>
  </w:style>
  <w:style w:type="character" w:styleId="829" w:customStyle="1">
    <w:name w:val="T18"/>
    <w:qFormat/>
    <w:rPr>
      <w:rFonts w:ascii="OpenSymbol" w:hAnsi="OpenSymbol" w:eastAsia="OpenSymbol" w:cs="OpenSymbol"/>
    </w:rPr>
  </w:style>
  <w:style w:type="character" w:styleId="830" w:customStyle="1">
    <w:name w:val="T19"/>
    <w:qFormat/>
    <w:rPr>
      <w:rFonts w:ascii="OpenSymbol" w:hAnsi="OpenSymbol" w:eastAsia="OpenSymbol" w:cs="OpenSymbol"/>
    </w:rPr>
  </w:style>
  <w:style w:type="character" w:styleId="831" w:customStyle="1">
    <w:name w:val="T20"/>
    <w:qFormat/>
    <w:rPr>
      <w:rFonts w:ascii="OpenSymbol" w:hAnsi="OpenSymbol" w:eastAsia="OpenSymbol" w:cs="OpenSymbol"/>
    </w:rPr>
  </w:style>
  <w:style w:type="character" w:styleId="832" w:customStyle="1">
    <w:name w:val="T21"/>
    <w:qFormat/>
    <w:rPr>
      <w:rFonts w:ascii="OpenSymbol" w:hAnsi="OpenSymbol" w:eastAsia="OpenSymbol" w:cs="OpenSymbol"/>
    </w:rPr>
  </w:style>
  <w:style w:type="character" w:styleId="833" w:customStyle="1">
    <w:name w:val="T22"/>
    <w:qFormat/>
    <w:rPr>
      <w:rFonts w:ascii="OpenSymbol" w:hAnsi="OpenSymbol" w:eastAsia="OpenSymbol" w:cs="OpenSymbol"/>
    </w:rPr>
  </w:style>
  <w:style w:type="character" w:styleId="834" w:customStyle="1">
    <w:name w:val="T23"/>
    <w:qFormat/>
    <w:rPr>
      <w:rFonts w:ascii="OpenSymbol" w:hAnsi="OpenSymbol" w:eastAsia="OpenSymbol" w:cs="OpenSymbol"/>
    </w:rPr>
  </w:style>
  <w:style w:type="character" w:styleId="835" w:customStyle="1">
    <w:name w:val="T24"/>
    <w:qFormat/>
    <w:rPr>
      <w:rFonts w:ascii="OpenSymbol" w:hAnsi="OpenSymbol" w:eastAsia="OpenSymbol" w:cs="OpenSymbol"/>
    </w:rPr>
  </w:style>
  <w:style w:type="character" w:styleId="836" w:customStyle="1">
    <w:name w:val="T25"/>
    <w:qFormat/>
    <w:rPr>
      <w:rFonts w:ascii="OpenSymbol" w:hAnsi="OpenSymbol" w:eastAsia="OpenSymbol" w:cs="OpenSymbol"/>
    </w:rPr>
  </w:style>
  <w:style w:type="character" w:styleId="837" w:customStyle="1">
    <w:name w:val="T26"/>
    <w:qFormat/>
    <w:rPr>
      <w:rFonts w:ascii="OpenSymbol" w:hAnsi="OpenSymbol" w:eastAsia="OpenSymbol" w:cs="OpenSymbol"/>
    </w:rPr>
  </w:style>
  <w:style w:type="character" w:styleId="838" w:customStyle="1">
    <w:name w:val="T27"/>
    <w:qFormat/>
    <w:rPr>
      <w:rFonts w:ascii="OpenSymbol" w:hAnsi="OpenSymbol" w:eastAsia="OpenSymbol" w:cs="OpenSymbol"/>
    </w:rPr>
  </w:style>
  <w:style w:type="character" w:styleId="839" w:customStyle="1">
    <w:name w:val="T28"/>
    <w:qFormat/>
    <w:rPr>
      <w:rFonts w:ascii="OpenSymbol" w:hAnsi="OpenSymbol" w:eastAsia="OpenSymbol" w:cs="OpenSymbol"/>
    </w:rPr>
  </w:style>
  <w:style w:type="character" w:styleId="840" w:customStyle="1">
    <w:name w:val="T29"/>
    <w:qFormat/>
    <w:rPr>
      <w:rFonts w:ascii="OpenSymbol" w:hAnsi="OpenSymbol" w:eastAsia="OpenSymbol" w:cs="OpenSymbol"/>
    </w:rPr>
  </w:style>
  <w:style w:type="character" w:styleId="841" w:customStyle="1">
    <w:name w:val="T30"/>
    <w:qFormat/>
    <w:rPr>
      <w:rFonts w:ascii="OpenSymbol" w:hAnsi="OpenSymbol" w:eastAsia="OpenSymbol" w:cs="OpenSymbol"/>
    </w:rPr>
  </w:style>
  <w:style w:type="character" w:styleId="842" w:customStyle="1">
    <w:name w:val="T31"/>
    <w:qFormat/>
    <w:rPr>
      <w:rFonts w:ascii="OpenSymbol" w:hAnsi="OpenSymbol" w:eastAsia="OpenSymbol" w:cs="OpenSymbol"/>
    </w:rPr>
  </w:style>
  <w:style w:type="character" w:styleId="843" w:customStyle="1">
    <w:name w:val="T32"/>
    <w:qFormat/>
    <w:rPr>
      <w:rFonts w:ascii="OpenSymbol" w:hAnsi="OpenSymbol" w:eastAsia="OpenSymbol" w:cs="OpenSymbol"/>
    </w:rPr>
  </w:style>
  <w:style w:type="character" w:styleId="844" w:customStyle="1">
    <w:name w:val="T33"/>
    <w:qFormat/>
    <w:rPr>
      <w:rFonts w:ascii="OpenSymbol" w:hAnsi="OpenSymbol" w:eastAsia="OpenSymbol" w:cs="OpenSymbol"/>
    </w:rPr>
  </w:style>
  <w:style w:type="character" w:styleId="845" w:customStyle="1">
    <w:name w:val="T34"/>
    <w:qFormat/>
    <w:rPr>
      <w:rFonts w:ascii="OpenSymbol" w:hAnsi="OpenSymbol" w:eastAsia="OpenSymbol" w:cs="OpenSymbol"/>
    </w:rPr>
  </w:style>
  <w:style w:type="character" w:styleId="846" w:customStyle="1">
    <w:name w:val="T35"/>
    <w:qFormat/>
    <w:rPr>
      <w:rFonts w:ascii="OpenSymbol" w:hAnsi="OpenSymbol" w:eastAsia="OpenSymbol" w:cs="OpenSymbol"/>
    </w:rPr>
  </w:style>
  <w:style w:type="character" w:styleId="847" w:customStyle="1">
    <w:name w:val="T36"/>
    <w:qFormat/>
    <w:rPr>
      <w:rFonts w:ascii="OpenSymbol" w:hAnsi="OpenSymbol" w:eastAsia="OpenSymbol" w:cs="OpenSymbol"/>
    </w:rPr>
  </w:style>
  <w:style w:type="character" w:styleId="848" w:customStyle="1">
    <w:name w:val="T37"/>
    <w:qFormat/>
    <w:rPr>
      <w:rFonts w:ascii="OpenSymbol" w:hAnsi="OpenSymbol" w:eastAsia="OpenSymbol" w:cs="OpenSymbol"/>
    </w:rPr>
  </w:style>
  <w:style w:type="character" w:styleId="849" w:customStyle="1">
    <w:name w:val="T38"/>
    <w:qFormat/>
    <w:rPr>
      <w:rFonts w:ascii="OpenSymbol" w:hAnsi="OpenSymbol" w:eastAsia="OpenSymbol" w:cs="OpenSymbol"/>
    </w:rPr>
  </w:style>
  <w:style w:type="character" w:styleId="850" w:customStyle="1">
    <w:name w:val="T39"/>
    <w:qFormat/>
    <w:rPr>
      <w:rFonts w:ascii="OpenSymbol" w:hAnsi="OpenSymbol" w:eastAsia="OpenSymbol" w:cs="OpenSymbol"/>
    </w:rPr>
  </w:style>
  <w:style w:type="character" w:styleId="851" w:customStyle="1">
    <w:name w:val="T40"/>
    <w:qFormat/>
    <w:rPr>
      <w:rFonts w:ascii="OpenSymbol" w:hAnsi="OpenSymbol" w:eastAsia="OpenSymbol" w:cs="OpenSymbol"/>
    </w:rPr>
  </w:style>
  <w:style w:type="character" w:styleId="852" w:customStyle="1">
    <w:name w:val="T41"/>
    <w:qFormat/>
    <w:rPr>
      <w:rFonts w:ascii="OpenSymbol" w:hAnsi="OpenSymbol" w:eastAsia="OpenSymbol" w:cs="OpenSymbol"/>
    </w:rPr>
  </w:style>
  <w:style w:type="character" w:styleId="853" w:customStyle="1">
    <w:name w:val="T42"/>
    <w:qFormat/>
    <w:rPr>
      <w:rFonts w:ascii="OpenSymbol" w:hAnsi="OpenSymbol" w:eastAsia="OpenSymbol" w:cs="OpenSymbol"/>
    </w:rPr>
  </w:style>
  <w:style w:type="character" w:styleId="854" w:customStyle="1">
    <w:name w:val="T43"/>
    <w:qFormat/>
    <w:rPr>
      <w:rFonts w:ascii="OpenSymbol" w:hAnsi="OpenSymbol" w:eastAsia="OpenSymbol" w:cs="OpenSymbol"/>
    </w:rPr>
  </w:style>
  <w:style w:type="character" w:styleId="855" w:customStyle="1">
    <w:name w:val="T44"/>
    <w:qFormat/>
    <w:rPr>
      <w:rFonts w:ascii="OpenSymbol" w:hAnsi="OpenSymbol" w:eastAsia="OpenSymbol" w:cs="OpenSymbol"/>
    </w:rPr>
  </w:style>
  <w:style w:type="character" w:styleId="856" w:customStyle="1">
    <w:name w:val="T45"/>
    <w:qFormat/>
    <w:rPr>
      <w:rFonts w:ascii="OpenSymbol" w:hAnsi="OpenSymbol" w:eastAsia="OpenSymbol" w:cs="OpenSymbol"/>
    </w:rPr>
  </w:style>
  <w:style w:type="character" w:styleId="857" w:customStyle="1">
    <w:name w:val="T46"/>
    <w:qFormat/>
    <w:rPr>
      <w:rFonts w:ascii="OpenSymbol" w:hAnsi="OpenSymbol" w:eastAsia="OpenSymbol" w:cs="OpenSymbol"/>
    </w:rPr>
  </w:style>
  <w:style w:type="character" w:styleId="858" w:customStyle="1">
    <w:name w:val="T47"/>
    <w:qFormat/>
    <w:rPr>
      <w:rFonts w:ascii="OpenSymbol" w:hAnsi="OpenSymbol" w:eastAsia="OpenSymbol" w:cs="OpenSymbol"/>
    </w:rPr>
  </w:style>
  <w:style w:type="character" w:styleId="859" w:customStyle="1">
    <w:name w:val="T48"/>
    <w:qFormat/>
    <w:rPr>
      <w:rFonts w:ascii="OpenSymbol" w:hAnsi="OpenSymbol" w:eastAsia="OpenSymbol" w:cs="OpenSymbol"/>
    </w:rPr>
  </w:style>
  <w:style w:type="character" w:styleId="860" w:customStyle="1">
    <w:name w:val="T49"/>
    <w:qFormat/>
    <w:rPr>
      <w:rFonts w:ascii="OpenSymbol" w:hAnsi="OpenSymbol" w:eastAsia="OpenSymbol" w:cs="OpenSymbol"/>
    </w:rPr>
  </w:style>
  <w:style w:type="character" w:styleId="861" w:customStyle="1">
    <w:name w:val="T50"/>
    <w:qFormat/>
    <w:rPr>
      <w:rFonts w:ascii="OpenSymbol" w:hAnsi="OpenSymbol" w:eastAsia="OpenSymbol" w:cs="OpenSymbol"/>
    </w:rPr>
  </w:style>
  <w:style w:type="character" w:styleId="862" w:customStyle="1">
    <w:name w:val="T51"/>
    <w:qFormat/>
    <w:rPr>
      <w:rFonts w:ascii="OpenSymbol" w:hAnsi="OpenSymbol" w:eastAsia="OpenSymbol" w:cs="OpenSymbol"/>
    </w:rPr>
  </w:style>
  <w:style w:type="character" w:styleId="863" w:customStyle="1">
    <w:name w:val="WW_CharLFO5LVL4"/>
    <w:qFormat/>
    <w:rPr>
      <w:rFonts w:ascii="OpenSymbol" w:hAnsi="OpenSymbol" w:eastAsia="OpenSymbol" w:cs="OpenSymbol"/>
    </w:rPr>
  </w:style>
  <w:style w:type="character" w:styleId="864" w:customStyle="1">
    <w:name w:val="WW_CharLFO5LVL5"/>
    <w:qFormat/>
    <w:rPr>
      <w:rFonts w:ascii="OpenSymbol" w:hAnsi="OpenSymbol" w:eastAsia="OpenSymbol" w:cs="OpenSymbol"/>
    </w:rPr>
  </w:style>
  <w:style w:type="character" w:styleId="865" w:customStyle="1">
    <w:name w:val="WW_CharLFO5LVL6"/>
    <w:qFormat/>
    <w:rPr>
      <w:rFonts w:ascii="OpenSymbol" w:hAnsi="OpenSymbol" w:eastAsia="OpenSymbol" w:cs="OpenSymbol"/>
    </w:rPr>
  </w:style>
  <w:style w:type="character" w:styleId="866" w:customStyle="1">
    <w:name w:val="WW_CharLFO5LVL7"/>
    <w:qFormat/>
    <w:rPr>
      <w:rFonts w:ascii="OpenSymbol" w:hAnsi="OpenSymbol" w:eastAsia="OpenSymbol" w:cs="OpenSymbol"/>
    </w:rPr>
  </w:style>
  <w:style w:type="character" w:styleId="867" w:customStyle="1">
    <w:name w:val="WW_CharLFO5LVL8"/>
    <w:qFormat/>
    <w:rPr>
      <w:rFonts w:ascii="OpenSymbol" w:hAnsi="OpenSymbol" w:eastAsia="OpenSymbol" w:cs="OpenSymbol"/>
    </w:rPr>
  </w:style>
  <w:style w:type="character" w:styleId="868" w:customStyle="1">
    <w:name w:val="WW_CharLFO5LVL9"/>
    <w:qFormat/>
    <w:rPr>
      <w:rFonts w:ascii="OpenSymbol" w:hAnsi="OpenSymbol" w:eastAsia="OpenSymbol" w:cs="OpenSymbol"/>
    </w:rPr>
  </w:style>
  <w:style w:type="character" w:styleId="869" w:customStyle="1">
    <w:name w:val="WW_CharLFO6LVL1"/>
    <w:qFormat/>
    <w:rPr>
      <w:rFonts w:ascii="PT Astra Serif" w:hAnsi="PT Astra Serif"/>
    </w:rPr>
  </w:style>
  <w:style w:type="character" w:styleId="870" w:customStyle="1">
    <w:name w:val="WW_CharLFO6LVL2"/>
    <w:qFormat/>
    <w:rPr>
      <w:rFonts w:ascii="PT Astra Serif" w:hAnsi="PT Astra Serif"/>
    </w:rPr>
  </w:style>
  <w:style w:type="character" w:styleId="871" w:customStyle="1">
    <w:name w:val="WW_CharLFO6LVL3"/>
    <w:qFormat/>
    <w:rPr>
      <w:rFonts w:ascii="PT Astra Serif" w:hAnsi="PT Astra Serif"/>
    </w:rPr>
  </w:style>
  <w:style w:type="character" w:styleId="872" w:customStyle="1">
    <w:name w:val="WW_CharLFO6LVL4"/>
    <w:qFormat/>
    <w:rPr>
      <w:rFonts w:ascii="PT Astra Serif" w:hAnsi="PT Astra Serif"/>
    </w:rPr>
  </w:style>
  <w:style w:type="character" w:styleId="873" w:customStyle="1">
    <w:name w:val="WW_CharLFO6LVL5"/>
    <w:qFormat/>
    <w:rPr>
      <w:rFonts w:ascii="PT Astra Serif" w:hAnsi="PT Astra Serif"/>
    </w:rPr>
  </w:style>
  <w:style w:type="character" w:styleId="874" w:customStyle="1">
    <w:name w:val="WW_CharLFO6LVL6"/>
    <w:qFormat/>
    <w:rPr>
      <w:rFonts w:ascii="PT Astra Serif" w:hAnsi="PT Astra Serif"/>
    </w:rPr>
  </w:style>
  <w:style w:type="character" w:styleId="875" w:customStyle="1">
    <w:name w:val="WW_CharLFO6LVL7"/>
    <w:qFormat/>
    <w:rPr>
      <w:rFonts w:ascii="PT Astra Serif" w:hAnsi="PT Astra Serif"/>
    </w:rPr>
  </w:style>
  <w:style w:type="character" w:styleId="876" w:customStyle="1">
    <w:name w:val="WW_CharLFO6LVL8"/>
    <w:qFormat/>
    <w:rPr>
      <w:rFonts w:ascii="PT Astra Serif" w:hAnsi="PT Astra Serif"/>
    </w:rPr>
  </w:style>
  <w:style w:type="character" w:styleId="877" w:customStyle="1">
    <w:name w:val="WW_CharLFO6LVL9"/>
    <w:qFormat/>
    <w:rPr>
      <w:rFonts w:ascii="PT Astra Serif" w:hAnsi="PT Astra Serif"/>
    </w:rPr>
  </w:style>
  <w:style w:type="character" w:styleId="878" w:customStyle="1">
    <w:name w:val="WW_CharLFO7LVL1"/>
    <w:qFormat/>
    <w:rPr>
      <w:rFonts w:ascii="OpenSymbol" w:hAnsi="OpenSymbol" w:eastAsia="OpenSymbol" w:cs="OpenSymbol"/>
    </w:rPr>
  </w:style>
  <w:style w:type="character" w:styleId="879" w:customStyle="1">
    <w:name w:val="WW_CharLFO7LVL2"/>
    <w:qFormat/>
    <w:rPr>
      <w:rFonts w:ascii="OpenSymbol" w:hAnsi="OpenSymbol" w:eastAsia="OpenSymbol" w:cs="OpenSymbol"/>
    </w:rPr>
  </w:style>
  <w:style w:type="character" w:styleId="880" w:customStyle="1">
    <w:name w:val="WW_CharLFO7LVL3"/>
    <w:qFormat/>
    <w:rPr>
      <w:rFonts w:ascii="OpenSymbol" w:hAnsi="OpenSymbol" w:eastAsia="OpenSymbol" w:cs="OpenSymbol"/>
    </w:rPr>
  </w:style>
  <w:style w:type="character" w:styleId="881" w:customStyle="1">
    <w:name w:val="WW_CharLFO7LVL4"/>
    <w:qFormat/>
    <w:rPr>
      <w:rFonts w:ascii="OpenSymbol" w:hAnsi="OpenSymbol" w:eastAsia="OpenSymbol" w:cs="OpenSymbol"/>
    </w:rPr>
  </w:style>
  <w:style w:type="character" w:styleId="882" w:customStyle="1">
    <w:name w:val="WW_CharLFO7LVL5"/>
    <w:qFormat/>
    <w:rPr>
      <w:rFonts w:ascii="OpenSymbol" w:hAnsi="OpenSymbol" w:eastAsia="OpenSymbol" w:cs="OpenSymbol"/>
    </w:rPr>
  </w:style>
  <w:style w:type="character" w:styleId="883" w:customStyle="1">
    <w:name w:val="WW_CharLFO7LVL6"/>
    <w:qFormat/>
    <w:rPr>
      <w:rFonts w:ascii="OpenSymbol" w:hAnsi="OpenSymbol" w:eastAsia="OpenSymbol" w:cs="OpenSymbol"/>
    </w:rPr>
  </w:style>
  <w:style w:type="character" w:styleId="884" w:customStyle="1">
    <w:name w:val="WW_CharLFO7LVL7"/>
    <w:qFormat/>
    <w:rPr>
      <w:rFonts w:ascii="OpenSymbol" w:hAnsi="OpenSymbol" w:eastAsia="OpenSymbol" w:cs="OpenSymbol"/>
    </w:rPr>
  </w:style>
  <w:style w:type="character" w:styleId="885" w:customStyle="1">
    <w:name w:val="WW_CharLFO7LVL8"/>
    <w:qFormat/>
    <w:rPr>
      <w:rFonts w:ascii="OpenSymbol" w:hAnsi="OpenSymbol" w:eastAsia="OpenSymbol" w:cs="OpenSymbol"/>
    </w:rPr>
  </w:style>
  <w:style w:type="character" w:styleId="886" w:customStyle="1">
    <w:name w:val="WW_CharLFO7LVL9"/>
    <w:qFormat/>
    <w:rPr>
      <w:rFonts w:ascii="OpenSymbol" w:hAnsi="OpenSymbol" w:eastAsia="OpenSymbol" w:cs="OpenSymbol"/>
    </w:rPr>
  </w:style>
  <w:style w:type="character" w:styleId="887" w:customStyle="1">
    <w:name w:val="WW_CharLFO8LVL1"/>
    <w:qFormat/>
    <w:rPr>
      <w:rFonts w:ascii="OpenSymbol" w:hAnsi="OpenSymbol" w:eastAsia="OpenSymbol" w:cs="OpenSymbol"/>
    </w:rPr>
  </w:style>
  <w:style w:type="character" w:styleId="888" w:customStyle="1">
    <w:name w:val="WW_CharLFO8LVL2"/>
    <w:qFormat/>
    <w:rPr>
      <w:rFonts w:ascii="OpenSymbol" w:hAnsi="OpenSymbol" w:eastAsia="OpenSymbol" w:cs="OpenSymbol"/>
    </w:rPr>
  </w:style>
  <w:style w:type="character" w:styleId="889" w:customStyle="1">
    <w:name w:val="WW_CharLFO8LVL3"/>
    <w:qFormat/>
    <w:rPr>
      <w:rFonts w:ascii="OpenSymbol" w:hAnsi="OpenSymbol" w:eastAsia="OpenSymbol" w:cs="OpenSymbol"/>
    </w:rPr>
  </w:style>
  <w:style w:type="character" w:styleId="890" w:customStyle="1">
    <w:name w:val="WW_CharLFO8LVL4"/>
    <w:qFormat/>
    <w:rPr>
      <w:rFonts w:ascii="OpenSymbol" w:hAnsi="OpenSymbol" w:eastAsia="OpenSymbol" w:cs="OpenSymbol"/>
    </w:rPr>
  </w:style>
  <w:style w:type="character" w:styleId="891" w:customStyle="1">
    <w:name w:val="WW_CharLFO8LVL5"/>
    <w:qFormat/>
    <w:rPr>
      <w:rFonts w:ascii="OpenSymbol" w:hAnsi="OpenSymbol" w:eastAsia="OpenSymbol" w:cs="OpenSymbol"/>
    </w:rPr>
  </w:style>
  <w:style w:type="character" w:styleId="892" w:customStyle="1">
    <w:name w:val="WW_CharLFO8LVL6"/>
    <w:qFormat/>
    <w:rPr>
      <w:rFonts w:ascii="OpenSymbol" w:hAnsi="OpenSymbol" w:eastAsia="OpenSymbol" w:cs="OpenSymbol"/>
    </w:rPr>
  </w:style>
  <w:style w:type="character" w:styleId="893" w:customStyle="1">
    <w:name w:val="WW_CharLFO8LVL7"/>
    <w:qFormat/>
    <w:rPr>
      <w:rFonts w:ascii="OpenSymbol" w:hAnsi="OpenSymbol" w:eastAsia="OpenSymbol" w:cs="OpenSymbol"/>
    </w:rPr>
  </w:style>
  <w:style w:type="character" w:styleId="894" w:customStyle="1">
    <w:name w:val="WW_CharLFO8LVL8"/>
    <w:qFormat/>
    <w:rPr>
      <w:rFonts w:ascii="OpenSymbol" w:hAnsi="OpenSymbol" w:eastAsia="OpenSymbol" w:cs="OpenSymbol"/>
    </w:rPr>
  </w:style>
  <w:style w:type="character" w:styleId="895" w:customStyle="1">
    <w:name w:val="WW_CharLFO8LVL9"/>
    <w:qFormat/>
    <w:rPr>
      <w:rFonts w:ascii="OpenSymbol" w:hAnsi="OpenSymbol" w:eastAsia="OpenSymbol" w:cs="OpenSymbol"/>
    </w:rPr>
  </w:style>
  <w:style w:type="character" w:styleId="896" w:customStyle="1">
    <w:name w:val="WW_CharLFO9LVL1"/>
    <w:qFormat/>
    <w:rPr>
      <w:rFonts w:ascii="OpenSymbol" w:hAnsi="OpenSymbol" w:eastAsia="OpenSymbol" w:cs="OpenSymbol"/>
    </w:rPr>
  </w:style>
  <w:style w:type="character" w:styleId="897" w:customStyle="1">
    <w:name w:val="WW_CharLFO9LVL2"/>
    <w:qFormat/>
    <w:rPr>
      <w:rFonts w:ascii="OpenSymbol" w:hAnsi="OpenSymbol" w:eastAsia="OpenSymbol" w:cs="OpenSymbol"/>
    </w:rPr>
  </w:style>
  <w:style w:type="character" w:styleId="898" w:customStyle="1">
    <w:name w:val="WW_CharLFO9LVL3"/>
    <w:qFormat/>
    <w:rPr>
      <w:rFonts w:ascii="OpenSymbol" w:hAnsi="OpenSymbol" w:eastAsia="OpenSymbol" w:cs="OpenSymbol"/>
    </w:rPr>
  </w:style>
  <w:style w:type="character" w:styleId="899" w:customStyle="1">
    <w:name w:val="WW_CharLFO9LVL4"/>
    <w:qFormat/>
    <w:rPr>
      <w:rFonts w:ascii="OpenSymbol" w:hAnsi="OpenSymbol" w:eastAsia="OpenSymbol" w:cs="OpenSymbol"/>
    </w:rPr>
  </w:style>
  <w:style w:type="character" w:styleId="900" w:customStyle="1">
    <w:name w:val="WW_CharLFO9LVL5"/>
    <w:qFormat/>
    <w:rPr>
      <w:rFonts w:ascii="OpenSymbol" w:hAnsi="OpenSymbol" w:eastAsia="OpenSymbol" w:cs="OpenSymbol"/>
    </w:rPr>
  </w:style>
  <w:style w:type="character" w:styleId="901" w:customStyle="1">
    <w:name w:val="WW_CharLFO9LVL6"/>
    <w:qFormat/>
    <w:rPr>
      <w:rFonts w:ascii="OpenSymbol" w:hAnsi="OpenSymbol" w:eastAsia="OpenSymbol" w:cs="OpenSymbol"/>
    </w:rPr>
  </w:style>
  <w:style w:type="character" w:styleId="902" w:customStyle="1">
    <w:name w:val="WW_CharLFO9LVL7"/>
    <w:qFormat/>
    <w:rPr>
      <w:rFonts w:ascii="OpenSymbol" w:hAnsi="OpenSymbol" w:eastAsia="OpenSymbol" w:cs="OpenSymbol"/>
    </w:rPr>
  </w:style>
  <w:style w:type="character" w:styleId="903" w:customStyle="1">
    <w:name w:val="WW_CharLFO9LVL8"/>
    <w:qFormat/>
    <w:rPr>
      <w:rFonts w:ascii="OpenSymbol" w:hAnsi="OpenSymbol" w:eastAsia="OpenSymbol" w:cs="OpenSymbol"/>
    </w:rPr>
  </w:style>
  <w:style w:type="character" w:styleId="904" w:customStyle="1">
    <w:name w:val="WW_CharLFO9LVL9"/>
    <w:qFormat/>
    <w:rPr>
      <w:rFonts w:ascii="OpenSymbol" w:hAnsi="OpenSymbol" w:eastAsia="OpenSymbol" w:cs="OpenSymbol"/>
    </w:rPr>
  </w:style>
  <w:style w:type="character" w:styleId="905" w:customStyle="1">
    <w:name w:val="WW_CharLFO10LVL1"/>
    <w:qFormat/>
    <w:rPr>
      <w:rFonts w:ascii="OpenSymbol" w:hAnsi="OpenSymbol" w:eastAsia="OpenSymbol" w:cs="OpenSymbol"/>
    </w:rPr>
  </w:style>
  <w:style w:type="character" w:styleId="906" w:customStyle="1">
    <w:name w:val="WW_CharLFO10LVL2"/>
    <w:qFormat/>
    <w:rPr>
      <w:rFonts w:ascii="OpenSymbol" w:hAnsi="OpenSymbol" w:eastAsia="OpenSymbol" w:cs="OpenSymbol"/>
    </w:rPr>
  </w:style>
  <w:style w:type="character" w:styleId="907" w:customStyle="1">
    <w:name w:val="WW_CharLFO10LVL3"/>
    <w:qFormat/>
    <w:rPr>
      <w:rFonts w:ascii="OpenSymbol" w:hAnsi="OpenSymbol" w:eastAsia="OpenSymbol" w:cs="OpenSymbol"/>
    </w:rPr>
  </w:style>
  <w:style w:type="character" w:styleId="908" w:customStyle="1">
    <w:name w:val="WW_CharLFO10LVL4"/>
    <w:qFormat/>
    <w:rPr>
      <w:rFonts w:ascii="OpenSymbol" w:hAnsi="OpenSymbol" w:eastAsia="OpenSymbol" w:cs="OpenSymbol"/>
    </w:rPr>
  </w:style>
  <w:style w:type="character" w:styleId="909" w:customStyle="1">
    <w:name w:val="WW_CharLFO10LVL5"/>
    <w:qFormat/>
    <w:rPr>
      <w:rFonts w:ascii="OpenSymbol" w:hAnsi="OpenSymbol" w:eastAsia="OpenSymbol" w:cs="OpenSymbol"/>
    </w:rPr>
  </w:style>
  <w:style w:type="character" w:styleId="910" w:customStyle="1">
    <w:name w:val="WW_CharLFO10LVL6"/>
    <w:qFormat/>
    <w:rPr>
      <w:rFonts w:ascii="OpenSymbol" w:hAnsi="OpenSymbol" w:eastAsia="OpenSymbol" w:cs="OpenSymbol"/>
    </w:rPr>
  </w:style>
  <w:style w:type="character" w:styleId="911" w:customStyle="1">
    <w:name w:val="WW_CharLFO10LVL7"/>
    <w:qFormat/>
    <w:rPr>
      <w:rFonts w:ascii="OpenSymbol" w:hAnsi="OpenSymbol" w:eastAsia="OpenSymbol" w:cs="OpenSymbol"/>
    </w:rPr>
  </w:style>
  <w:style w:type="character" w:styleId="912" w:customStyle="1">
    <w:name w:val="WW_CharLFO10LVL8"/>
    <w:qFormat/>
    <w:rPr>
      <w:rFonts w:ascii="OpenSymbol" w:hAnsi="OpenSymbol" w:eastAsia="OpenSymbol" w:cs="OpenSymbol"/>
    </w:rPr>
  </w:style>
  <w:style w:type="character" w:styleId="913" w:customStyle="1">
    <w:name w:val="WW_CharLFO10LVL9"/>
    <w:qFormat/>
    <w:rPr>
      <w:rFonts w:ascii="OpenSymbol" w:hAnsi="OpenSymbol" w:eastAsia="OpenSymbol" w:cs="OpenSymbol"/>
    </w:rPr>
  </w:style>
  <w:style w:type="character" w:styleId="914">
    <w:name w:val="annotation reference"/>
    <w:basedOn w:val="756"/>
    <w:uiPriority w:val="99"/>
    <w:semiHidden/>
    <w:unhideWhenUsed/>
    <w:qFormat/>
    <w:rPr>
      <w:sz w:val="16"/>
      <w:szCs w:val="16"/>
    </w:rPr>
  </w:style>
  <w:style w:type="character" w:styleId="915" w:customStyle="1">
    <w:name w:val="Основной текст Знак"/>
    <w:basedOn w:val="756"/>
    <w:link w:val="920"/>
    <w:qFormat/>
  </w:style>
  <w:style w:type="character" w:styleId="916" w:customStyle="1">
    <w:name w:val="Текст примечания Знак"/>
    <w:basedOn w:val="915"/>
    <w:link w:val="950"/>
    <w:qFormat/>
  </w:style>
  <w:style w:type="character" w:styleId="917" w:customStyle="1">
    <w:name w:val="Тема примечания Знак"/>
    <w:basedOn w:val="916"/>
    <w:link w:val="1037"/>
    <w:uiPriority w:val="99"/>
    <w:semiHidden/>
    <w:qFormat/>
    <w:rPr>
      <w:rFonts w:cs="Mangal"/>
      <w:b/>
      <w:bCs/>
      <w:sz w:val="20"/>
      <w:szCs w:val="18"/>
    </w:rPr>
  </w:style>
  <w:style w:type="character" w:styleId="918" w:customStyle="1">
    <w:name w:val="Текст выноски Знак"/>
    <w:basedOn w:val="756"/>
    <w:link w:val="1038"/>
    <w:uiPriority w:val="99"/>
    <w:semiHidden/>
    <w:qFormat/>
    <w:rPr>
      <w:rFonts w:ascii="Segoe UI" w:hAnsi="Segoe UI" w:cs="Mangal"/>
      <w:sz w:val="18"/>
      <w:szCs w:val="16"/>
    </w:rPr>
  </w:style>
  <w:style w:type="paragraph" w:styleId="919">
    <w:name w:val="Title"/>
    <w:basedOn w:val="746"/>
    <w:next w:val="920"/>
    <w:link w:val="778"/>
    <w:uiPriority w:val="10"/>
    <w:qFormat/>
    <w:pPr>
      <w:contextualSpacing/>
      <w:spacing w:after="80"/>
    </w:pPr>
    <w:rPr>
      <w:rFonts w:ascii="Arial" w:hAnsi="Arial" w:eastAsia="Arial" w:cs="Arial"/>
      <w:spacing w:val="-10"/>
      <w:sz w:val="56"/>
      <w:szCs w:val="56"/>
    </w:rPr>
  </w:style>
  <w:style w:type="paragraph" w:styleId="920">
    <w:name w:val="Body Text"/>
    <w:basedOn w:val="746"/>
    <w:link w:val="915"/>
    <w:pPr>
      <w:jc w:val="both"/>
    </w:pPr>
  </w:style>
  <w:style w:type="paragraph" w:styleId="921">
    <w:name w:val="List"/>
    <w:basedOn w:val="920"/>
    <w:rPr>
      <w:rFonts w:cs="Lohit Devanagari"/>
    </w:rPr>
  </w:style>
  <w:style w:type="paragraph" w:styleId="922">
    <w:name w:val="Caption"/>
    <w:basedOn w:val="746"/>
    <w:qFormat/>
    <w:rPr>
      <w:rFonts w:cs="Lohit Devanagari"/>
    </w:rPr>
  </w:style>
  <w:style w:type="paragraph" w:styleId="923">
    <w:name w:val="index heading"/>
    <w:basedOn w:val="919"/>
  </w:style>
  <w:style w:type="paragraph" w:styleId="924" w:customStyle="1">
    <w:name w:val="Заголовок 11"/>
    <w:basedOn w:val="752"/>
    <w:next w:val="752"/>
    <w:qFormat/>
    <w:pPr>
      <w:numPr>
        <w:ilvl w:val="0"/>
        <w:numId w:val="0"/>
      </w:numPr>
      <w:contextualSpacing w:val="0"/>
      <w:jc w:val="right"/>
      <w:keepNext/>
      <w:spacing w:before="240" w:after="0"/>
      <w:tabs>
        <w:tab w:val="left" w:pos="0" w:leader="none"/>
      </w:tabs>
      <w:outlineLvl w:val="0"/>
    </w:pPr>
    <w:rPr>
      <w:rFonts w:ascii="Times New Roman" w:hAnsi="Times New Roman" w:eastAsia="Times New Roman" w:cs="Times New Roman"/>
      <w:b/>
      <w:color w:val="auto"/>
      <w:spacing w:val="0"/>
      <w:sz w:val="28"/>
      <w:szCs w:val="20"/>
      <w:lang w:val="en-US" w:bidi="ar-SA"/>
    </w:rPr>
  </w:style>
  <w:style w:type="paragraph" w:styleId="925">
    <w:name w:val="Quote"/>
    <w:basedOn w:val="746"/>
    <w:link w:val="780"/>
    <w:qFormat/>
    <w:pPr>
      <w:ind w:left="720" w:right="720"/>
    </w:pPr>
    <w:rPr>
      <w:i/>
    </w:rPr>
  </w:style>
  <w:style w:type="paragraph" w:styleId="926">
    <w:name w:val="List Paragraph"/>
    <w:basedOn w:val="746"/>
    <w:qFormat/>
    <w:pPr>
      <w:ind w:left="720"/>
    </w:pPr>
  </w:style>
  <w:style w:type="paragraph" w:styleId="927">
    <w:name w:val="Intense Quote"/>
    <w:basedOn w:val="746"/>
    <w:link w:val="781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paragraph" w:styleId="928">
    <w:name w:val="No Spacing"/>
    <w:qFormat/>
    <w:pPr>
      <w:widowControl w:val="off"/>
    </w:pPr>
  </w:style>
  <w:style w:type="paragraph" w:styleId="929">
    <w:name w:val="footnote text"/>
    <w:basedOn w:val="746"/>
  </w:style>
  <w:style w:type="paragraph" w:styleId="930">
    <w:name w:val="endnote text"/>
    <w:basedOn w:val="746"/>
  </w:style>
  <w:style w:type="paragraph" w:styleId="931">
    <w:name w:val="toc 1"/>
    <w:basedOn w:val="923"/>
    <w:pPr>
      <w:tabs>
        <w:tab w:val="right" w:pos="9638" w:leader="dot"/>
      </w:tabs>
    </w:pPr>
  </w:style>
  <w:style w:type="paragraph" w:styleId="932">
    <w:name w:val="toc 2"/>
    <w:basedOn w:val="923"/>
    <w:pPr>
      <w:tabs>
        <w:tab w:val="right" w:pos="9354" w:leader="dot"/>
      </w:tabs>
    </w:pPr>
  </w:style>
  <w:style w:type="paragraph" w:styleId="933">
    <w:name w:val="toc 3"/>
    <w:basedOn w:val="923"/>
    <w:pPr>
      <w:tabs>
        <w:tab w:val="right" w:pos="9071" w:leader="dot"/>
      </w:tabs>
    </w:pPr>
  </w:style>
  <w:style w:type="paragraph" w:styleId="934">
    <w:name w:val="toc 4"/>
    <w:basedOn w:val="923"/>
    <w:pPr>
      <w:tabs>
        <w:tab w:val="right" w:pos="8787" w:leader="dot"/>
      </w:tabs>
    </w:pPr>
  </w:style>
  <w:style w:type="paragraph" w:styleId="935">
    <w:name w:val="toc 5"/>
    <w:basedOn w:val="923"/>
    <w:pPr>
      <w:tabs>
        <w:tab w:val="right" w:pos="8504" w:leader="dot"/>
      </w:tabs>
    </w:pPr>
  </w:style>
  <w:style w:type="paragraph" w:styleId="936">
    <w:name w:val="toc 6"/>
    <w:basedOn w:val="923"/>
    <w:pPr>
      <w:tabs>
        <w:tab w:val="right" w:pos="8220" w:leader="dot"/>
      </w:tabs>
    </w:pPr>
  </w:style>
  <w:style w:type="paragraph" w:styleId="937">
    <w:name w:val="toc 7"/>
    <w:basedOn w:val="923"/>
    <w:pPr>
      <w:tabs>
        <w:tab w:val="right" w:pos="7937" w:leader="dot"/>
      </w:tabs>
    </w:pPr>
  </w:style>
  <w:style w:type="paragraph" w:styleId="938">
    <w:name w:val="toc 8"/>
    <w:basedOn w:val="923"/>
    <w:pPr>
      <w:tabs>
        <w:tab w:val="right" w:pos="7659" w:leader="dot"/>
      </w:tabs>
    </w:pPr>
  </w:style>
  <w:style w:type="paragraph" w:styleId="939">
    <w:name w:val="toc 9"/>
    <w:basedOn w:val="923"/>
    <w:pPr>
      <w:tabs>
        <w:tab w:val="right" w:pos="7376" w:leader="dot"/>
      </w:tabs>
    </w:pPr>
  </w:style>
  <w:style w:type="paragraph" w:styleId="940">
    <w:name w:val="TOC Heading"/>
    <w:basedOn w:val="919"/>
  </w:style>
  <w:style w:type="paragraph" w:styleId="941">
    <w:name w:val="table of figures"/>
    <w:basedOn w:val="922"/>
    <w:qFormat/>
  </w:style>
  <w:style w:type="paragraph" w:styleId="942" w:customStyle="1">
    <w:name w:val="DStyle_paragraph"/>
    <w:qFormat/>
    <w:pPr>
      <w:widowControl w:val="off"/>
    </w:pPr>
    <w:rPr>
      <w:rFonts w:eastAsia="Source Han Sans CN Regular" w:cs="Lohit Devanagari"/>
    </w:rPr>
  </w:style>
  <w:style w:type="paragraph" w:styleId="943" w:customStyle="1">
    <w:name w:val="Блочная цитата"/>
    <w:basedOn w:val="746"/>
    <w:qFormat/>
  </w:style>
  <w:style w:type="paragraph" w:styleId="944">
    <w:name w:val="Subtitle"/>
    <w:basedOn w:val="746"/>
    <w:qFormat/>
    <w:pPr>
      <w:ind w:left="709"/>
      <w:jc w:val="both"/>
    </w:pPr>
    <w:rPr>
      <w:b/>
    </w:rPr>
  </w:style>
  <w:style w:type="paragraph" w:styleId="945">
    <w:name w:val="Body Text Indent"/>
    <w:basedOn w:val="920"/>
    <w:qFormat/>
  </w:style>
  <w:style w:type="paragraph" w:styleId="946" w:customStyle="1">
    <w:name w:val="Обратный отступ"/>
    <w:basedOn w:val="920"/>
    <w:qFormat/>
    <w:pPr>
      <w:tabs>
        <w:tab w:val="left" w:pos="566" w:leader="none"/>
      </w:tabs>
    </w:pPr>
  </w:style>
  <w:style w:type="paragraph" w:styleId="947">
    <w:name w:val="Salutation"/>
    <w:basedOn w:val="746"/>
    <w:qFormat/>
  </w:style>
  <w:style w:type="paragraph" w:styleId="948">
    <w:name w:val="Signature"/>
    <w:basedOn w:val="746"/>
    <w:pPr>
      <w:tabs>
        <w:tab w:val="right" w:pos="31680" w:leader="none"/>
      </w:tabs>
    </w:pPr>
  </w:style>
  <w:style w:type="paragraph" w:styleId="949" w:customStyle="1">
    <w:name w:val="Отступы"/>
    <w:basedOn w:val="920"/>
    <w:qFormat/>
    <w:pPr>
      <w:tabs>
        <w:tab w:val="left" w:pos="566" w:leader="none"/>
      </w:tabs>
    </w:pPr>
  </w:style>
  <w:style w:type="paragraph" w:styleId="950">
    <w:name w:val="annotation text"/>
    <w:basedOn w:val="920"/>
    <w:link w:val="916"/>
    <w:qFormat/>
  </w:style>
  <w:style w:type="paragraph" w:styleId="951" w:customStyle="1">
    <w:name w:val="Заголовок 10"/>
    <w:basedOn w:val="919"/>
    <w:qFormat/>
  </w:style>
  <w:style w:type="paragraph" w:styleId="952" w:customStyle="1">
    <w:name w:val="Нумерованный 1 начало"/>
    <w:basedOn w:val="921"/>
    <w:qFormat/>
  </w:style>
  <w:style w:type="paragraph" w:styleId="953">
    <w:name w:val="List Bullet 4"/>
    <w:basedOn w:val="921"/>
    <w:qFormat/>
  </w:style>
  <w:style w:type="paragraph" w:styleId="954" w:customStyle="1">
    <w:name w:val="Нумерованный 1 конец"/>
    <w:basedOn w:val="921"/>
    <w:qFormat/>
  </w:style>
  <w:style w:type="paragraph" w:styleId="955" w:customStyle="1">
    <w:name w:val="Нумерованный 1 прод."/>
    <w:basedOn w:val="921"/>
    <w:qFormat/>
  </w:style>
  <w:style w:type="paragraph" w:styleId="956" w:customStyle="1">
    <w:name w:val="Нумерованный 2 начало"/>
    <w:basedOn w:val="921"/>
    <w:qFormat/>
  </w:style>
  <w:style w:type="paragraph" w:styleId="957">
    <w:name w:val="List Number 2"/>
    <w:basedOn w:val="921"/>
    <w:qFormat/>
  </w:style>
  <w:style w:type="paragraph" w:styleId="958" w:customStyle="1">
    <w:name w:val="Нумерованный 2 конец"/>
    <w:basedOn w:val="921"/>
    <w:qFormat/>
  </w:style>
  <w:style w:type="paragraph" w:styleId="959" w:customStyle="1">
    <w:name w:val="Нумерованный 2 прод."/>
    <w:basedOn w:val="921"/>
    <w:qFormat/>
  </w:style>
  <w:style w:type="paragraph" w:styleId="960" w:customStyle="1">
    <w:name w:val="Нумерованный 3 начало"/>
    <w:basedOn w:val="921"/>
    <w:qFormat/>
  </w:style>
  <w:style w:type="paragraph" w:styleId="961">
    <w:name w:val="List Number 3"/>
    <w:basedOn w:val="921"/>
    <w:qFormat/>
  </w:style>
  <w:style w:type="paragraph" w:styleId="962" w:customStyle="1">
    <w:name w:val="Нумерованный 3 конец"/>
    <w:basedOn w:val="921"/>
    <w:qFormat/>
  </w:style>
  <w:style w:type="paragraph" w:styleId="963" w:customStyle="1">
    <w:name w:val="Нумерованный 3 прод."/>
    <w:basedOn w:val="921"/>
    <w:qFormat/>
  </w:style>
  <w:style w:type="paragraph" w:styleId="964" w:customStyle="1">
    <w:name w:val="Нумерованный 4 начало"/>
    <w:basedOn w:val="921"/>
    <w:qFormat/>
  </w:style>
  <w:style w:type="paragraph" w:styleId="965">
    <w:name w:val="List Number 4"/>
    <w:basedOn w:val="921"/>
    <w:qFormat/>
  </w:style>
  <w:style w:type="paragraph" w:styleId="966" w:customStyle="1">
    <w:name w:val="Нумерованный 4 конец"/>
    <w:basedOn w:val="921"/>
    <w:qFormat/>
  </w:style>
  <w:style w:type="paragraph" w:styleId="967" w:customStyle="1">
    <w:name w:val="Нумерованный 4 прод."/>
    <w:basedOn w:val="921"/>
    <w:qFormat/>
  </w:style>
  <w:style w:type="paragraph" w:styleId="968" w:customStyle="1">
    <w:name w:val="Нумерованный 5 начало"/>
    <w:basedOn w:val="921"/>
    <w:qFormat/>
  </w:style>
  <w:style w:type="paragraph" w:styleId="969">
    <w:name w:val="List Number 5"/>
    <w:basedOn w:val="921"/>
    <w:qFormat/>
  </w:style>
  <w:style w:type="paragraph" w:styleId="970" w:customStyle="1">
    <w:name w:val="Нумерованный 5 конец"/>
    <w:basedOn w:val="921"/>
    <w:qFormat/>
  </w:style>
  <w:style w:type="paragraph" w:styleId="971" w:customStyle="1">
    <w:name w:val="Нумерованный 5 прод."/>
    <w:basedOn w:val="921"/>
    <w:qFormat/>
  </w:style>
  <w:style w:type="paragraph" w:styleId="972" w:customStyle="1">
    <w:name w:val="Список 1 начало"/>
    <w:basedOn w:val="921"/>
    <w:qFormat/>
  </w:style>
  <w:style w:type="paragraph" w:styleId="973">
    <w:name w:val="List Bullet 3"/>
    <w:basedOn w:val="921"/>
    <w:qFormat/>
  </w:style>
  <w:style w:type="paragraph" w:styleId="974" w:customStyle="1">
    <w:name w:val="Список 1 конец"/>
    <w:basedOn w:val="921"/>
    <w:qFormat/>
  </w:style>
  <w:style w:type="paragraph" w:styleId="975">
    <w:name w:val="List Continue"/>
    <w:basedOn w:val="921"/>
    <w:qFormat/>
  </w:style>
  <w:style w:type="paragraph" w:styleId="976" w:customStyle="1">
    <w:name w:val="Список 2 начало"/>
    <w:basedOn w:val="921"/>
    <w:qFormat/>
  </w:style>
  <w:style w:type="paragraph" w:styleId="977" w:customStyle="1">
    <w:name w:val="Список 2 конец"/>
    <w:basedOn w:val="921"/>
    <w:qFormat/>
  </w:style>
  <w:style w:type="paragraph" w:styleId="978">
    <w:name w:val="List Continue 2"/>
    <w:basedOn w:val="921"/>
    <w:qFormat/>
  </w:style>
  <w:style w:type="paragraph" w:styleId="979" w:customStyle="1">
    <w:name w:val="Список 3 начало"/>
    <w:basedOn w:val="921"/>
    <w:qFormat/>
  </w:style>
  <w:style w:type="paragraph" w:styleId="980" w:customStyle="1">
    <w:name w:val="Список 3 конец"/>
    <w:basedOn w:val="921"/>
    <w:qFormat/>
  </w:style>
  <w:style w:type="paragraph" w:styleId="981">
    <w:name w:val="List Continue 3"/>
    <w:basedOn w:val="921"/>
    <w:qFormat/>
  </w:style>
  <w:style w:type="paragraph" w:styleId="982" w:customStyle="1">
    <w:name w:val="Список 4 начало"/>
    <w:basedOn w:val="921"/>
    <w:qFormat/>
  </w:style>
  <w:style w:type="paragraph" w:styleId="983">
    <w:name w:val="List Bullet 5"/>
    <w:basedOn w:val="921"/>
    <w:qFormat/>
  </w:style>
  <w:style w:type="paragraph" w:styleId="984" w:customStyle="1">
    <w:name w:val="Список 4 конец"/>
    <w:basedOn w:val="921"/>
    <w:qFormat/>
  </w:style>
  <w:style w:type="paragraph" w:styleId="985">
    <w:name w:val="List Continue 4"/>
    <w:basedOn w:val="921"/>
    <w:qFormat/>
  </w:style>
  <w:style w:type="paragraph" w:styleId="986" w:customStyle="1">
    <w:name w:val="Список 5 начало"/>
    <w:basedOn w:val="921"/>
    <w:qFormat/>
  </w:style>
  <w:style w:type="paragraph" w:styleId="987">
    <w:name w:val="List Number"/>
    <w:basedOn w:val="921"/>
    <w:qFormat/>
  </w:style>
  <w:style w:type="paragraph" w:styleId="988" w:customStyle="1">
    <w:name w:val="Список 5 конец"/>
    <w:basedOn w:val="921"/>
    <w:qFormat/>
  </w:style>
  <w:style w:type="paragraph" w:styleId="989">
    <w:name w:val="List Continue 5"/>
    <w:basedOn w:val="921"/>
    <w:qFormat/>
  </w:style>
  <w:style w:type="paragraph" w:styleId="990">
    <w:name w:val="index 1"/>
    <w:basedOn w:val="923"/>
    <w:qFormat/>
  </w:style>
  <w:style w:type="paragraph" w:styleId="991">
    <w:name w:val="index 2"/>
    <w:basedOn w:val="923"/>
    <w:qFormat/>
  </w:style>
  <w:style w:type="paragraph" w:styleId="992">
    <w:name w:val="index 3"/>
    <w:basedOn w:val="923"/>
    <w:qFormat/>
  </w:style>
  <w:style w:type="paragraph" w:styleId="993" w:customStyle="1">
    <w:name w:val="Разделитель предметного указателя"/>
    <w:basedOn w:val="923"/>
    <w:qFormat/>
  </w:style>
  <w:style w:type="paragraph" w:styleId="994" w:customStyle="1">
    <w:name w:val="Заголовок указателей пользователя"/>
    <w:basedOn w:val="919"/>
    <w:qFormat/>
  </w:style>
  <w:style w:type="paragraph" w:styleId="995" w:customStyle="1">
    <w:name w:val="Указатель пользователя 1"/>
    <w:basedOn w:val="923"/>
    <w:qFormat/>
    <w:pPr>
      <w:tabs>
        <w:tab w:val="right" w:pos="9638" w:leader="dot"/>
      </w:tabs>
    </w:pPr>
  </w:style>
  <w:style w:type="paragraph" w:styleId="996" w:customStyle="1">
    <w:name w:val="Указатель пользователя 2"/>
    <w:basedOn w:val="923"/>
    <w:qFormat/>
    <w:pPr>
      <w:tabs>
        <w:tab w:val="right" w:pos="9354" w:leader="dot"/>
      </w:tabs>
    </w:pPr>
  </w:style>
  <w:style w:type="paragraph" w:styleId="997" w:customStyle="1">
    <w:name w:val="Указатель пользователя 3"/>
    <w:basedOn w:val="923"/>
    <w:qFormat/>
    <w:pPr>
      <w:tabs>
        <w:tab w:val="right" w:pos="9071" w:leader="dot"/>
      </w:tabs>
    </w:pPr>
  </w:style>
  <w:style w:type="paragraph" w:styleId="998" w:customStyle="1">
    <w:name w:val="Указатель пользователя 4"/>
    <w:basedOn w:val="923"/>
    <w:qFormat/>
    <w:pPr>
      <w:tabs>
        <w:tab w:val="right" w:pos="8787" w:leader="dot"/>
      </w:tabs>
    </w:pPr>
  </w:style>
  <w:style w:type="paragraph" w:styleId="999" w:customStyle="1">
    <w:name w:val="Указатель пользователя 5"/>
    <w:basedOn w:val="923"/>
    <w:qFormat/>
    <w:pPr>
      <w:tabs>
        <w:tab w:val="right" w:pos="8504" w:leader="dot"/>
      </w:tabs>
    </w:pPr>
  </w:style>
  <w:style w:type="paragraph" w:styleId="1000" w:customStyle="1">
    <w:name w:val="Оглавление 10"/>
    <w:basedOn w:val="923"/>
    <w:qFormat/>
    <w:pPr>
      <w:tabs>
        <w:tab w:val="right" w:pos="7092" w:leader="dot"/>
      </w:tabs>
    </w:pPr>
  </w:style>
  <w:style w:type="paragraph" w:styleId="1001" w:customStyle="1">
    <w:name w:val="Illustration Index 1"/>
    <w:basedOn w:val="923"/>
    <w:qFormat/>
    <w:pPr>
      <w:tabs>
        <w:tab w:val="right" w:pos="9638" w:leader="dot"/>
      </w:tabs>
    </w:pPr>
  </w:style>
  <w:style w:type="paragraph" w:styleId="1002" w:customStyle="1">
    <w:name w:val="Заголовок списка объектов"/>
    <w:basedOn w:val="919"/>
    <w:qFormat/>
  </w:style>
  <w:style w:type="paragraph" w:styleId="1003" w:customStyle="1">
    <w:name w:val="Список объектов 1"/>
    <w:basedOn w:val="923"/>
    <w:qFormat/>
    <w:pPr>
      <w:tabs>
        <w:tab w:val="right" w:pos="9638" w:leader="dot"/>
      </w:tabs>
    </w:pPr>
  </w:style>
  <w:style w:type="paragraph" w:styleId="1004" w:customStyle="1">
    <w:name w:val="Заголовок списка таблиц"/>
    <w:basedOn w:val="919"/>
    <w:qFormat/>
  </w:style>
  <w:style w:type="paragraph" w:styleId="1005" w:customStyle="1">
    <w:name w:val="Список таблиц 1"/>
    <w:basedOn w:val="923"/>
    <w:qFormat/>
    <w:pPr>
      <w:tabs>
        <w:tab w:val="right" w:pos="9638" w:leader="dot"/>
      </w:tabs>
    </w:pPr>
  </w:style>
  <w:style w:type="paragraph" w:styleId="1006">
    <w:name w:val="table of authorities"/>
    <w:basedOn w:val="919"/>
    <w:qFormat/>
  </w:style>
  <w:style w:type="paragraph" w:styleId="1007" w:customStyle="1">
    <w:name w:val="Библиография 1"/>
    <w:basedOn w:val="923"/>
    <w:qFormat/>
    <w:pPr>
      <w:tabs>
        <w:tab w:val="right" w:pos="9638" w:leader="dot"/>
      </w:tabs>
    </w:pPr>
  </w:style>
  <w:style w:type="paragraph" w:styleId="1008" w:customStyle="1">
    <w:name w:val="Указатель пользователя 6"/>
    <w:basedOn w:val="923"/>
    <w:qFormat/>
    <w:pPr>
      <w:tabs>
        <w:tab w:val="right" w:pos="8220" w:leader="dot"/>
      </w:tabs>
    </w:pPr>
  </w:style>
  <w:style w:type="paragraph" w:styleId="1009" w:customStyle="1">
    <w:name w:val="Указатель пользователя 7"/>
    <w:basedOn w:val="923"/>
    <w:qFormat/>
    <w:pPr>
      <w:tabs>
        <w:tab w:val="right" w:pos="7937" w:leader="dot"/>
      </w:tabs>
    </w:pPr>
  </w:style>
  <w:style w:type="paragraph" w:styleId="1010" w:customStyle="1">
    <w:name w:val="Указатель пользователя 8"/>
    <w:basedOn w:val="923"/>
    <w:qFormat/>
    <w:pPr>
      <w:tabs>
        <w:tab w:val="right" w:pos="7659" w:leader="dot"/>
      </w:tabs>
    </w:pPr>
  </w:style>
  <w:style w:type="paragraph" w:styleId="1011" w:customStyle="1">
    <w:name w:val="Указатель пользователя 9"/>
    <w:basedOn w:val="923"/>
    <w:qFormat/>
    <w:pPr>
      <w:tabs>
        <w:tab w:val="right" w:pos="7376" w:leader="dot"/>
      </w:tabs>
    </w:pPr>
  </w:style>
  <w:style w:type="paragraph" w:styleId="1012" w:customStyle="1">
    <w:name w:val="Указатель пользователя 10"/>
    <w:basedOn w:val="923"/>
    <w:qFormat/>
    <w:pPr>
      <w:tabs>
        <w:tab w:val="right" w:pos="7092" w:leader="dot"/>
      </w:tabs>
    </w:pPr>
  </w:style>
  <w:style w:type="paragraph" w:styleId="1013" w:customStyle="1">
    <w:name w:val="Колонтитул"/>
    <w:basedOn w:val="746"/>
    <w:qFormat/>
    <w:pPr>
      <w:tabs>
        <w:tab w:val="center" w:pos="4818" w:leader="none"/>
        <w:tab w:val="right" w:pos="9638" w:leader="none"/>
      </w:tabs>
    </w:pPr>
  </w:style>
  <w:style w:type="paragraph" w:styleId="1014">
    <w:name w:val="Header"/>
    <w:basedOn w:val="746"/>
    <w:pPr>
      <w:tabs>
        <w:tab w:val="center" w:pos="4818" w:leader="none"/>
        <w:tab w:val="right" w:pos="9638" w:leader="none"/>
      </w:tabs>
    </w:pPr>
  </w:style>
  <w:style w:type="paragraph" w:styleId="1015" w:customStyle="1">
    <w:name w:val="Верхний колонтитул слева"/>
    <w:basedOn w:val="746"/>
    <w:qFormat/>
    <w:pPr>
      <w:tabs>
        <w:tab w:val="center" w:pos="4818" w:leader="none"/>
        <w:tab w:val="right" w:pos="9638" w:leader="none"/>
      </w:tabs>
    </w:pPr>
  </w:style>
  <w:style w:type="paragraph" w:styleId="1016" w:customStyle="1">
    <w:name w:val="Верхний колонтитул справа"/>
    <w:basedOn w:val="746"/>
    <w:qFormat/>
    <w:pPr>
      <w:jc w:val="right"/>
      <w:tabs>
        <w:tab w:val="center" w:pos="4818" w:leader="none"/>
        <w:tab w:val="right" w:pos="9638" w:leader="none"/>
      </w:tabs>
    </w:pPr>
  </w:style>
  <w:style w:type="paragraph" w:styleId="1017">
    <w:name w:val="Footer"/>
    <w:basedOn w:val="746"/>
    <w:pPr>
      <w:tabs>
        <w:tab w:val="center" w:pos="4818" w:leader="none"/>
        <w:tab w:val="right" w:pos="9638" w:leader="none"/>
      </w:tabs>
    </w:pPr>
  </w:style>
  <w:style w:type="paragraph" w:styleId="1018" w:customStyle="1">
    <w:name w:val="Нижний колонтитул слева"/>
    <w:basedOn w:val="746"/>
    <w:qFormat/>
    <w:pPr>
      <w:tabs>
        <w:tab w:val="center" w:pos="4818" w:leader="none"/>
        <w:tab w:val="right" w:pos="9638" w:leader="none"/>
      </w:tabs>
    </w:pPr>
  </w:style>
  <w:style w:type="paragraph" w:styleId="1019" w:customStyle="1">
    <w:name w:val="Нижний колонтитул справа"/>
    <w:basedOn w:val="746"/>
    <w:qFormat/>
    <w:pPr>
      <w:jc w:val="right"/>
      <w:tabs>
        <w:tab w:val="center" w:pos="4818" w:leader="none"/>
        <w:tab w:val="right" w:pos="9638" w:leader="none"/>
      </w:tabs>
    </w:pPr>
  </w:style>
  <w:style w:type="paragraph" w:styleId="1020" w:customStyle="1">
    <w:name w:val="Содержимое таблицы"/>
    <w:basedOn w:val="746"/>
    <w:qFormat/>
  </w:style>
  <w:style w:type="paragraph" w:styleId="1021" w:customStyle="1">
    <w:name w:val="Заголовок таблицы"/>
    <w:basedOn w:val="1020"/>
    <w:qFormat/>
    <w:rPr>
      <w:b/>
    </w:rPr>
  </w:style>
  <w:style w:type="paragraph" w:styleId="1022" w:customStyle="1">
    <w:name w:val="Иллюстрация"/>
    <w:basedOn w:val="922"/>
    <w:qFormat/>
  </w:style>
  <w:style w:type="paragraph" w:styleId="1023" w:customStyle="1">
    <w:name w:val="Таблица"/>
    <w:basedOn w:val="922"/>
    <w:qFormat/>
  </w:style>
  <w:style w:type="paragraph" w:styleId="1024">
    <w:name w:val="Plain Text"/>
    <w:basedOn w:val="922"/>
    <w:qFormat/>
  </w:style>
  <w:style w:type="paragraph" w:styleId="1025" w:customStyle="1">
    <w:name w:val="Содержимое врезки"/>
    <w:basedOn w:val="746"/>
    <w:qFormat/>
  </w:style>
  <w:style w:type="paragraph" w:styleId="1026">
    <w:name w:val="envelope address"/>
    <w:basedOn w:val="746"/>
    <w:qFormat/>
  </w:style>
  <w:style w:type="paragraph" w:styleId="1027">
    <w:name w:val="envelope return"/>
    <w:basedOn w:val="746"/>
    <w:qFormat/>
  </w:style>
  <w:style w:type="paragraph" w:styleId="1028" w:customStyle="1">
    <w:name w:val="Текст в заданном формате"/>
    <w:basedOn w:val="746"/>
    <w:qFormat/>
    <w:rPr>
      <w:rFonts w:eastAsia="Source Han Sans CN Regular" w:cs="Lohit Devanagari"/>
    </w:rPr>
  </w:style>
  <w:style w:type="paragraph" w:styleId="1029" w:customStyle="1">
    <w:name w:val="Горизонтальная линия"/>
    <w:basedOn w:val="746"/>
    <w:qFormat/>
    <w:rPr>
      <w:sz w:val="4"/>
    </w:rPr>
  </w:style>
  <w:style w:type="paragraph" w:styleId="1030" w:customStyle="1">
    <w:name w:val="Содержимое списка"/>
    <w:basedOn w:val="746"/>
    <w:qFormat/>
  </w:style>
  <w:style w:type="paragraph" w:styleId="1031" w:customStyle="1">
    <w:name w:val="Заголовок списка"/>
    <w:basedOn w:val="746"/>
    <w:qFormat/>
  </w:style>
  <w:style w:type="paragraph" w:styleId="1032" w:customStyle="1">
    <w:name w:val="Гриф_Экземпляр"/>
    <w:basedOn w:val="746"/>
    <w:qFormat/>
  </w:style>
  <w:style w:type="paragraph" w:styleId="1033" w:customStyle="1">
    <w:name w:val="Исполнитель документа"/>
    <w:basedOn w:val="746"/>
    <w:qFormat/>
  </w:style>
  <w:style w:type="paragraph" w:styleId="1034" w:customStyle="1">
    <w:name w:val="Заголовок списка иллюстраций"/>
    <w:basedOn w:val="919"/>
    <w:qFormat/>
  </w:style>
  <w:style w:type="paragraph" w:styleId="1035" w:customStyle="1">
    <w:name w:val="ConsPlusNormal"/>
    <w:basedOn w:val="942"/>
    <w:qFormat/>
    <w:rPr>
      <w:rFonts w:ascii="Calibri" w:hAnsi="Calibri" w:eastAsia="Times New Roman" w:cs="Calibri"/>
    </w:rPr>
  </w:style>
  <w:style w:type="paragraph" w:styleId="1036" w:customStyle="1">
    <w:name w:val="ConsPlusNonformat"/>
    <w:basedOn w:val="942"/>
    <w:qFormat/>
    <w:rPr>
      <w:rFonts w:ascii="Courier New" w:hAnsi="Courier New" w:eastAsia="Times New Roman" w:cs="Courier New"/>
      <w:sz w:val="20"/>
    </w:rPr>
  </w:style>
  <w:style w:type="paragraph" w:styleId="1037">
    <w:name w:val="annotation subject"/>
    <w:basedOn w:val="950"/>
    <w:next w:val="950"/>
    <w:link w:val="917"/>
    <w:uiPriority w:val="99"/>
    <w:semiHidden/>
    <w:unhideWhenUsed/>
    <w:qFormat/>
    <w:pPr>
      <w:jc w:val="left"/>
    </w:pPr>
    <w:rPr>
      <w:rFonts w:cs="Mangal"/>
      <w:b/>
      <w:bCs/>
      <w:sz w:val="20"/>
      <w:szCs w:val="18"/>
    </w:rPr>
  </w:style>
  <w:style w:type="paragraph" w:styleId="1038">
    <w:name w:val="Balloon Text"/>
    <w:basedOn w:val="746"/>
    <w:link w:val="918"/>
    <w:uiPriority w:val="99"/>
    <w:semiHidden/>
    <w:unhideWhenUsed/>
    <w:qFormat/>
    <w:rPr>
      <w:rFonts w:ascii="Segoe UI" w:hAnsi="Segoe UI" w:cs="Mangal"/>
      <w:sz w:val="18"/>
      <w:szCs w:val="16"/>
    </w:rPr>
  </w:style>
  <w:style w:type="paragraph" w:styleId="1039" w:customStyle="1">
    <w:name w:val="Прижатый влево"/>
    <w:qFormat/>
    <w:rPr>
      <w:rFonts w:ascii="TimesNewRomanCYR" w:hAnsi="TimesNewRomanCYR" w:eastAsia="TimesNewRomanCYR" w:cs="TimesNewRomanCYR"/>
      <w:szCs w:val="20"/>
      <w:lang w:val="en-US"/>
    </w:rPr>
  </w:style>
  <w:style w:type="table" w:styleId="1040">
    <w:name w:val="Table Grid"/>
    <w:basedOn w:val="75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41" w:customStyle="1">
    <w:name w:val="Table Grid Light"/>
    <w:basedOn w:val="75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042">
    <w:name w:val="Plain Table 1"/>
    <w:basedOn w:val="75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1043">
    <w:name w:val="Plain Table 2"/>
    <w:basedOn w:val="75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1044">
    <w:name w:val="Plain Table 3"/>
    <w:basedOn w:val="757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45">
    <w:name w:val="Plain Table 4"/>
    <w:basedOn w:val="757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Plain Table 5"/>
    <w:basedOn w:val="757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47">
    <w:name w:val="Grid Table 1 Light"/>
    <w:basedOn w:val="75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 w:customStyle="1">
    <w:name w:val="Grid Table 1 Light - Accent 1"/>
    <w:basedOn w:val="75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 w:customStyle="1">
    <w:name w:val="Grid Table 1 Light - Accent 2"/>
    <w:basedOn w:val="75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 w:customStyle="1">
    <w:name w:val="Grid Table 1 Light - Accent 3"/>
    <w:basedOn w:val="75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 w:customStyle="1">
    <w:name w:val="Grid Table 1 Light - Accent 4"/>
    <w:basedOn w:val="75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 w:customStyle="1">
    <w:name w:val="Grid Table 1 Light - Accent 5"/>
    <w:basedOn w:val="75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 w:customStyle="1">
    <w:name w:val="Grid Table 1 Light - Accent 6"/>
    <w:basedOn w:val="75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Grid Table 2"/>
    <w:basedOn w:val="75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 w:customStyle="1">
    <w:name w:val="Grid Table 2 - Accent 1"/>
    <w:basedOn w:val="75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 w:customStyle="1">
    <w:name w:val="Grid Table 2 - Accent 2"/>
    <w:basedOn w:val="75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 w:customStyle="1">
    <w:name w:val="Grid Table 2 - Accent 3"/>
    <w:basedOn w:val="75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 w:customStyle="1">
    <w:name w:val="Grid Table 2 - Accent 4"/>
    <w:basedOn w:val="75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 w:customStyle="1">
    <w:name w:val="Grid Table 2 - Accent 5"/>
    <w:basedOn w:val="75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 w:customStyle="1">
    <w:name w:val="Grid Table 2 - Accent 6"/>
    <w:basedOn w:val="75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1">
    <w:name w:val="Grid Table 3"/>
    <w:basedOn w:val="75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2" w:customStyle="1">
    <w:name w:val="Grid Table 3 - Accent 1"/>
    <w:basedOn w:val="75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3" w:customStyle="1">
    <w:name w:val="Grid Table 3 - Accent 2"/>
    <w:basedOn w:val="75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4" w:customStyle="1">
    <w:name w:val="Grid Table 3 - Accent 3"/>
    <w:basedOn w:val="75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5" w:customStyle="1">
    <w:name w:val="Grid Table 3 - Accent 4"/>
    <w:basedOn w:val="75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6" w:customStyle="1">
    <w:name w:val="Grid Table 3 - Accent 5"/>
    <w:basedOn w:val="75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7" w:customStyle="1">
    <w:name w:val="Grid Table 3 - Accent 6"/>
    <w:basedOn w:val="75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8">
    <w:name w:val="Grid Table 4"/>
    <w:basedOn w:val="75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69" w:customStyle="1">
    <w:name w:val="Grid Table 4 - Accent 1"/>
    <w:basedOn w:val="75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1070" w:customStyle="1">
    <w:name w:val="Grid Table 4 - Accent 2"/>
    <w:basedOn w:val="75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1071" w:customStyle="1">
    <w:name w:val="Grid Table 4 - Accent 3"/>
    <w:basedOn w:val="75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1072" w:customStyle="1">
    <w:name w:val="Grid Table 4 - Accent 4"/>
    <w:basedOn w:val="75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1073" w:customStyle="1">
    <w:name w:val="Grid Table 4 - Accent 5"/>
    <w:basedOn w:val="75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074" w:customStyle="1">
    <w:name w:val="Grid Table 4 - Accent 6"/>
    <w:basedOn w:val="75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075">
    <w:name w:val="Grid Table 5 Dark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1076" w:customStyle="1">
    <w:name w:val="Grid Table 5 Dark- Accent 1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aec4e0" w:themeFill="accent1" w:themeFillTint="75"/>
      </w:tcPr>
    </w:tblStylePr>
    <w:tblStylePr w:type="band1Vert">
      <w:tcPr>
        <w:shd w:val="clear" w:color="ffffff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FFFFFF" w:themeColor="light1" w:sz="4" w:space="0"/>
        </w:tcBorders>
      </w:tcPr>
    </w:tblStylePr>
  </w:style>
  <w:style w:type="table" w:styleId="1077" w:customStyle="1">
    <w:name w:val="Grid Table 5 Dark - Accent 2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e2aead" w:themeFill="accent2" w:themeFillTint="75"/>
      </w:tcPr>
    </w:tblStylePr>
    <w:tblStylePr w:type="band1Vert">
      <w:tcPr>
        <w:shd w:val="clear" w:color="ffffff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FFFFFF" w:themeColor="light1" w:sz="4" w:space="0"/>
        </w:tcBorders>
      </w:tcPr>
    </w:tblStylePr>
  </w:style>
  <w:style w:type="table" w:styleId="1078" w:customStyle="1">
    <w:name w:val="Grid Table 5 Dark - Accent 3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d0dfb2" w:themeFill="accent3" w:themeFillTint="75"/>
      </w:tcPr>
    </w:tblStylePr>
    <w:tblStylePr w:type="band1Vert">
      <w:tcPr>
        <w:shd w:val="clear" w:color="ffffff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FFFFFF" w:themeColor="light1" w:sz="4" w:space="0"/>
        </w:tcBorders>
      </w:tcPr>
    </w:tblStylePr>
  </w:style>
  <w:style w:type="table" w:styleId="1079" w:customStyle="1">
    <w:name w:val="Grid Table 5 Dark- Accent 4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FFFFFF" w:themeColor="light1" w:sz="4" w:space="0"/>
        </w:tcBorders>
      </w:tcPr>
    </w:tblStylePr>
  </w:style>
  <w:style w:type="table" w:styleId="1080" w:customStyle="1">
    <w:name w:val="Grid Table 5 Dark - Accent 5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acd8e4" w:themeFill="accent5" w:themeFillTint="75"/>
      </w:tcPr>
    </w:tblStylePr>
    <w:tblStylePr w:type="band1Vert">
      <w:tcPr>
        <w:shd w:val="clear" w:color="ffffff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FFFFFF" w:themeColor="light1" w:sz="4" w:space="0"/>
        </w:tcBorders>
      </w:tcPr>
    </w:tblStylePr>
  </w:style>
  <w:style w:type="table" w:styleId="1081" w:customStyle="1">
    <w:name w:val="Grid Table 5 Dark - Accent 6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fbceaa" w:themeFill="accent6" w:themeFillTint="75"/>
      </w:tcPr>
    </w:tblStylePr>
    <w:tblStylePr w:type="band1Vert">
      <w:tcPr>
        <w:shd w:val="clear" w:color="ffffff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FFFFFF" w:themeColor="light1" w:sz="4" w:space="0"/>
        </w:tcBorders>
      </w:tcPr>
    </w:tblStylePr>
  </w:style>
  <w:style w:type="table" w:styleId="1082">
    <w:name w:val="Grid Table 6 Colorful"/>
    <w:basedOn w:val="75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83" w:customStyle="1">
    <w:name w:val="Grid Table 6 Colorful - Accent 1"/>
    <w:basedOn w:val="75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084" w:customStyle="1">
    <w:name w:val="Grid Table 6 Colorful - Accent 2"/>
    <w:basedOn w:val="75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fffff" w:fill="f2dcdc" w:themeFill="accent2" w:themeFillTint="32"/>
      </w:tcPr>
    </w:tblStylePr>
    <w:tblStylePr w:type="band1Vert"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085" w:customStyle="1">
    <w:name w:val="Grid Table 6 Colorful - Accent 3"/>
    <w:basedOn w:val="75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ffffff" w:fill="eaf1dc" w:themeFill="accent3" w:themeFillTint="34"/>
      </w:tcPr>
    </w:tblStylePr>
    <w:tblStylePr w:type="band1Vert"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086" w:customStyle="1">
    <w:name w:val="Grid Table 6 Colorful - Accent 4"/>
    <w:basedOn w:val="75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087" w:customStyle="1">
    <w:name w:val="Grid Table 6 Colorful - Accent 5"/>
    <w:basedOn w:val="75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88" w:customStyle="1">
    <w:name w:val="Grid Table 6 Colorful - Accent 6"/>
    <w:basedOn w:val="75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89">
    <w:name w:val="Grid Table 7 Colorful"/>
    <w:basedOn w:val="75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 w:customStyle="1">
    <w:name w:val="Grid Table 7 Colorful - Accent 1"/>
    <w:basedOn w:val="75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 w:customStyle="1">
    <w:name w:val="Grid Table 7 Colorful - Accent 2"/>
    <w:basedOn w:val="75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fffff" w:fill="f2dcdc" w:themeFill="accent2" w:themeFillTint="32"/>
      </w:tcPr>
    </w:tblStylePr>
    <w:tblStylePr w:type="band1Vert"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 w:customStyle="1">
    <w:name w:val="Grid Table 7 Colorful - Accent 3"/>
    <w:basedOn w:val="75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ffffff" w:fill="eaf1dc" w:themeFill="accent3" w:themeFillTint="34"/>
      </w:tcPr>
    </w:tblStylePr>
    <w:tblStylePr w:type="band1Vert"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3" w:customStyle="1">
    <w:name w:val="Grid Table 7 Colorful - Accent 4"/>
    <w:basedOn w:val="75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4" w:customStyle="1">
    <w:name w:val="Grid Table 7 Colorful - Accent 5"/>
    <w:basedOn w:val="75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 w:customStyle="1">
    <w:name w:val="Grid Table 7 Colorful - Accent 6"/>
    <w:basedOn w:val="75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6">
    <w:name w:val="List Table 1 Light"/>
    <w:basedOn w:val="757"/>
    <w:uiPriority w:val="99"/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7" w:customStyle="1">
    <w:name w:val="List Table 1 Light - Accent 1"/>
    <w:basedOn w:val="757"/>
    <w:uiPriority w:val="99"/>
    <w:tblPr>
      <w:tblStyleRowBandSize w:val="1"/>
      <w:tblStyleColBandSize w:val="1"/>
    </w:tblPr>
    <w:tblStylePr w:type="band1Horz"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8" w:customStyle="1">
    <w:name w:val="List Table 1 Light - Accent 2"/>
    <w:basedOn w:val="757"/>
    <w:uiPriority w:val="99"/>
    <w:tblPr>
      <w:tblStyleRowBandSize w:val="1"/>
      <w:tblStyleColBandSize w:val="1"/>
    </w:tblPr>
    <w:tblStylePr w:type="band1Horz"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9" w:customStyle="1">
    <w:name w:val="List Table 1 Light - Accent 3"/>
    <w:basedOn w:val="757"/>
    <w:uiPriority w:val="99"/>
    <w:tblPr>
      <w:tblStyleRowBandSize w:val="1"/>
      <w:tblStyleColBandSize w:val="1"/>
    </w:tblPr>
    <w:tblStylePr w:type="band1Horz"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0" w:customStyle="1">
    <w:name w:val="List Table 1 Light - Accent 4"/>
    <w:basedOn w:val="757"/>
    <w:uiPriority w:val="99"/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1" w:customStyle="1">
    <w:name w:val="List Table 1 Light - Accent 5"/>
    <w:basedOn w:val="757"/>
    <w:uiPriority w:val="99"/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2" w:customStyle="1">
    <w:name w:val="List Table 1 Light - Accent 6"/>
    <w:basedOn w:val="757"/>
    <w:uiPriority w:val="99"/>
    <w:tblPr>
      <w:tblStyleRowBandSize w:val="1"/>
      <w:tblStyleColBandSize w:val="1"/>
    </w:tblPr>
    <w:tblStylePr w:type="band1Horz"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3">
    <w:name w:val="List Table 2"/>
    <w:basedOn w:val="75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04" w:customStyle="1">
    <w:name w:val="List Table 2 - Accent 1"/>
    <w:basedOn w:val="75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1105" w:customStyle="1">
    <w:name w:val="List Table 2 - Accent 2"/>
    <w:basedOn w:val="75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1106" w:customStyle="1">
    <w:name w:val="List Table 2 - Accent 3"/>
    <w:basedOn w:val="75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1107" w:customStyle="1">
    <w:name w:val="List Table 2 - Accent 4"/>
    <w:basedOn w:val="75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1108" w:customStyle="1">
    <w:name w:val="List Table 2 - Accent 5"/>
    <w:basedOn w:val="75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1109" w:customStyle="1">
    <w:name w:val="List Table 2 - Accent 6"/>
    <w:basedOn w:val="75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1110">
    <w:name w:val="List Table 3"/>
    <w:basedOn w:val="75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1" w:customStyle="1">
    <w:name w:val="List Table 3 - Accent 1"/>
    <w:basedOn w:val="75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2" w:customStyle="1">
    <w:name w:val="List Table 3 - Accent 2"/>
    <w:basedOn w:val="75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3" w:customStyle="1">
    <w:name w:val="List Table 3 - Accent 3"/>
    <w:basedOn w:val="75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4" w:customStyle="1">
    <w:name w:val="List Table 3 - Accent 4"/>
    <w:basedOn w:val="75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5" w:customStyle="1">
    <w:name w:val="List Table 3 - Accent 5"/>
    <w:basedOn w:val="75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6" w:customStyle="1">
    <w:name w:val="List Table 3 - Accent 6"/>
    <w:basedOn w:val="75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7">
    <w:name w:val="List Table 4"/>
    <w:basedOn w:val="75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8" w:customStyle="1">
    <w:name w:val="List Table 4 - Accent 1"/>
    <w:basedOn w:val="75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9" w:customStyle="1">
    <w:name w:val="List Table 4 - Accent 2"/>
    <w:basedOn w:val="75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0" w:customStyle="1">
    <w:name w:val="List Table 4 - Accent 3"/>
    <w:basedOn w:val="75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 w:customStyle="1">
    <w:name w:val="List Table 4 - Accent 4"/>
    <w:basedOn w:val="75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 w:customStyle="1">
    <w:name w:val="List Table 4 - Accent 5"/>
    <w:basedOn w:val="75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3" w:customStyle="1">
    <w:name w:val="List Table 4 - Accent 6"/>
    <w:basedOn w:val="75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4">
    <w:name w:val="List Table 5 Dark"/>
    <w:basedOn w:val="75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25" w:customStyle="1">
    <w:name w:val="List Table 5 Dark - Accent 1"/>
    <w:basedOn w:val="75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26" w:customStyle="1">
    <w:name w:val="List Table 5 Dark - Accent 2"/>
    <w:basedOn w:val="75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27" w:customStyle="1">
    <w:name w:val="List Table 5 Dark - Accent 3"/>
    <w:basedOn w:val="75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28" w:customStyle="1">
    <w:name w:val="List Table 5 Dark - Accent 4"/>
    <w:basedOn w:val="75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29" w:customStyle="1">
    <w:name w:val="List Table 5 Dark - Accent 5"/>
    <w:basedOn w:val="75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30" w:customStyle="1">
    <w:name w:val="List Table 5 Dark - Accent 6"/>
    <w:basedOn w:val="75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31">
    <w:name w:val="List Table 6 Colorful"/>
    <w:basedOn w:val="75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1132" w:customStyle="1">
    <w:name w:val="List Table 6 Colorful - Accent 1"/>
    <w:basedOn w:val="75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133" w:customStyle="1">
    <w:name w:val="List Table 6 Colorful - Accent 2"/>
    <w:basedOn w:val="75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1134" w:customStyle="1">
    <w:name w:val="List Table 6 Colorful - Accent 3"/>
    <w:basedOn w:val="75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1135" w:customStyle="1">
    <w:name w:val="List Table 6 Colorful - Accent 4"/>
    <w:basedOn w:val="75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1136" w:customStyle="1">
    <w:name w:val="List Table 6 Colorful - Accent 5"/>
    <w:basedOn w:val="75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1137" w:customStyle="1">
    <w:name w:val="List Table 6 Colorful - Accent 6"/>
    <w:basedOn w:val="75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1138">
    <w:name w:val="List Table 7 Colorful"/>
    <w:basedOn w:val="75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9" w:customStyle="1">
    <w:name w:val="List Table 7 Colorful - Accent 1"/>
    <w:basedOn w:val="75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0" w:customStyle="1">
    <w:name w:val="List Table 7 Colorful - Accent 2"/>
    <w:basedOn w:val="75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1" w:customStyle="1">
    <w:name w:val="List Table 7 Colorful - Accent 3"/>
    <w:basedOn w:val="75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2" w:customStyle="1">
    <w:name w:val="List Table 7 Colorful - Accent 4"/>
    <w:basedOn w:val="75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3" w:customStyle="1">
    <w:name w:val="List Table 7 Colorful - Accent 5"/>
    <w:basedOn w:val="75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4" w:customStyle="1">
    <w:name w:val="List Table 7 Colorful - Accent 6"/>
    <w:basedOn w:val="75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5" w:customStyle="1">
    <w:name w:val="Lined - Accent"/>
    <w:basedOn w:val="75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2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1146" w:customStyle="1">
    <w:name w:val="Lined - Accent 1"/>
    <w:basedOn w:val="75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a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ac2" w:themeFill="accent1" w:themeFillTint="EA"/>
      </w:tcPr>
    </w:tblStylePr>
  </w:style>
  <w:style w:type="table" w:styleId="1147" w:customStyle="1">
    <w:name w:val="Lined - Accent 2"/>
    <w:basedOn w:val="75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5" w:themeFill="accent2" w:themeFillTint="97"/>
      </w:tcPr>
    </w:tblStylePr>
  </w:style>
  <w:style w:type="table" w:styleId="1148" w:customStyle="1">
    <w:name w:val="Lined - Accent 3"/>
    <w:basedOn w:val="75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abb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abb59" w:themeFill="accent3" w:themeFillTint="FE"/>
      </w:tcPr>
    </w:tblStylePr>
  </w:style>
  <w:style w:type="table" w:styleId="1149" w:customStyle="1">
    <w:name w:val="Lined - Accent 4"/>
    <w:basedOn w:val="75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1150" w:customStyle="1">
    <w:name w:val="Lined - Accent 5"/>
    <w:basedOn w:val="75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1151" w:customStyle="1">
    <w:name w:val="Lined - Accent 6"/>
    <w:basedOn w:val="757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1152" w:customStyle="1">
    <w:name w:val="Bordered &amp; Lined - Accent"/>
    <w:basedOn w:val="75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2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1153" w:customStyle="1">
    <w:name w:val="Bordered &amp; Lined - Accent 1"/>
    <w:basedOn w:val="757"/>
    <w:uiPriority w:val="99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a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ac2" w:themeFill="accent1" w:themeFillTint="EA"/>
      </w:tcPr>
    </w:tblStylePr>
  </w:style>
  <w:style w:type="table" w:styleId="1154" w:customStyle="1">
    <w:name w:val="Bordered &amp; Lined - Accent 2"/>
    <w:basedOn w:val="757"/>
    <w:uiPriority w:val="99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5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5" w:themeFill="accent2" w:themeFillTint="97"/>
      </w:tcPr>
    </w:tblStylePr>
  </w:style>
  <w:style w:type="table" w:styleId="1155" w:customStyle="1">
    <w:name w:val="Bordered &amp; Lined - Accent 3"/>
    <w:basedOn w:val="757"/>
    <w:uiPriority w:val="99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abb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abb59" w:themeFill="accent3" w:themeFillTint="FE"/>
      </w:tcPr>
    </w:tblStylePr>
  </w:style>
  <w:style w:type="table" w:styleId="1156" w:customStyle="1">
    <w:name w:val="Bordered &amp; Lined - Accent 4"/>
    <w:basedOn w:val="757"/>
    <w:uiPriority w:val="99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1157" w:customStyle="1">
    <w:name w:val="Bordered &amp; Lined - Accent 5"/>
    <w:basedOn w:val="757"/>
    <w:uiPriority w:val="99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1158" w:customStyle="1">
    <w:name w:val="Bordered &amp; Lined - Accent 6"/>
    <w:basedOn w:val="757"/>
    <w:uiPriority w:val="99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1159" w:customStyle="1">
    <w:name w:val="Bordered"/>
    <w:basedOn w:val="75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1160" w:customStyle="1">
    <w:name w:val="Bordered - Accent 1"/>
    <w:basedOn w:val="75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161" w:customStyle="1">
    <w:name w:val="Bordered - Accent 2"/>
    <w:basedOn w:val="75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1162" w:customStyle="1">
    <w:name w:val="Bordered - Accent 3"/>
    <w:basedOn w:val="75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1163" w:customStyle="1">
    <w:name w:val="Bordered - Accent 4"/>
    <w:basedOn w:val="75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1164" w:customStyle="1">
    <w:name w:val="Bordered - Accent 5"/>
    <w:basedOn w:val="75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1165" w:customStyle="1">
    <w:name w:val="Bordered - Accent 6"/>
    <w:basedOn w:val="75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yperlink" Target="https://internet.garant.ru/document/redirect/10106035/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Admin</dc:creator>
  <dc:description/>
  <dc:language>ru-RU</dc:language>
  <cp:revision>7</cp:revision>
  <dcterms:created xsi:type="dcterms:W3CDTF">2025-11-14T08:30:00Z</dcterms:created>
  <dcterms:modified xsi:type="dcterms:W3CDTF">2025-12-11T13:17:19Z</dcterms:modified>
</cp:coreProperties>
</file>