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E40CCE" w:rsidRDefault="00E40CCE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 экспертных группах при аттестационной комиссии Министерства образования и науки Республики Татарстан</w:t>
      </w: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334FC7">
      <w:pPr>
        <w:jc w:val="center"/>
        <w:rPr>
          <w:sz w:val="28"/>
          <w:szCs w:val="28"/>
        </w:rPr>
      </w:pPr>
    </w:p>
    <w:p w:rsidR="00334FC7" w:rsidRDefault="00334FC7" w:rsidP="00646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пунктом </w:t>
      </w:r>
      <w:r w:rsidR="00F1109F">
        <w:rPr>
          <w:sz w:val="28"/>
          <w:szCs w:val="28"/>
        </w:rPr>
        <w:t>26</w:t>
      </w:r>
      <w:r>
        <w:rPr>
          <w:sz w:val="28"/>
          <w:szCs w:val="28"/>
        </w:rPr>
        <w:t xml:space="preserve"> Порядка </w:t>
      </w:r>
      <w:r w:rsidR="00F1109F" w:rsidRPr="00F1109F">
        <w:rPr>
          <w:sz w:val="28"/>
          <w:szCs w:val="28"/>
        </w:rPr>
        <w:t>проведения аттестации педагогических работников организаций, осуществляющих образовательную деятельность</w:t>
      </w:r>
      <w:r>
        <w:rPr>
          <w:sz w:val="28"/>
          <w:szCs w:val="28"/>
        </w:rPr>
        <w:t>, утвержденного приказом Ми</w:t>
      </w:r>
      <w:r w:rsidR="00347A58">
        <w:rPr>
          <w:sz w:val="28"/>
          <w:szCs w:val="28"/>
        </w:rPr>
        <w:t>нистерства образования и науки Р</w:t>
      </w:r>
      <w:r>
        <w:rPr>
          <w:sz w:val="28"/>
          <w:szCs w:val="28"/>
        </w:rPr>
        <w:t xml:space="preserve">оссийской Федерации от </w:t>
      </w:r>
      <w:r w:rsidR="00F1109F">
        <w:rPr>
          <w:sz w:val="28"/>
          <w:szCs w:val="28"/>
        </w:rPr>
        <w:t xml:space="preserve">7 апреля  </w:t>
      </w:r>
      <w:r>
        <w:rPr>
          <w:sz w:val="28"/>
          <w:szCs w:val="28"/>
        </w:rPr>
        <w:t>201</w:t>
      </w:r>
      <w:r w:rsidR="00F1109F">
        <w:rPr>
          <w:sz w:val="28"/>
          <w:szCs w:val="28"/>
        </w:rPr>
        <w:t>4</w:t>
      </w:r>
      <w:r>
        <w:rPr>
          <w:sz w:val="28"/>
          <w:szCs w:val="28"/>
        </w:rPr>
        <w:t xml:space="preserve"> г.  № </w:t>
      </w:r>
      <w:r w:rsidR="00F1109F">
        <w:rPr>
          <w:sz w:val="28"/>
          <w:szCs w:val="28"/>
        </w:rPr>
        <w:t>276</w:t>
      </w:r>
      <w:r w:rsidR="0064613E" w:rsidRPr="0064613E">
        <w:t xml:space="preserve"> </w:t>
      </w:r>
      <w:r w:rsidR="0064613E">
        <w:t>«О</w:t>
      </w:r>
      <w:r w:rsidR="0064613E" w:rsidRPr="0064613E">
        <w:rPr>
          <w:sz w:val="28"/>
          <w:szCs w:val="28"/>
        </w:rPr>
        <w:t>б утверждении порядка</w:t>
      </w:r>
      <w:r w:rsidR="0064613E">
        <w:rPr>
          <w:sz w:val="28"/>
          <w:szCs w:val="28"/>
        </w:rPr>
        <w:t xml:space="preserve"> п</w:t>
      </w:r>
      <w:r w:rsidR="0064613E" w:rsidRPr="0064613E">
        <w:rPr>
          <w:sz w:val="28"/>
          <w:szCs w:val="28"/>
        </w:rPr>
        <w:t>роведения аттестации педагогических работников</w:t>
      </w:r>
      <w:r w:rsidR="0064613E">
        <w:rPr>
          <w:sz w:val="28"/>
          <w:szCs w:val="28"/>
        </w:rPr>
        <w:t xml:space="preserve"> о</w:t>
      </w:r>
      <w:r w:rsidR="0064613E" w:rsidRPr="0064613E">
        <w:rPr>
          <w:sz w:val="28"/>
          <w:szCs w:val="28"/>
        </w:rPr>
        <w:t>рганизаций, осуществляющих образовательную деятельность</w:t>
      </w:r>
      <w:r w:rsidR="0064613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334FC7" w:rsidRDefault="00334FC7" w:rsidP="001F0818">
      <w:pPr>
        <w:jc w:val="both"/>
        <w:rPr>
          <w:sz w:val="28"/>
          <w:szCs w:val="28"/>
        </w:rPr>
      </w:pPr>
    </w:p>
    <w:p w:rsidR="00BE01BA" w:rsidRDefault="00334FC7" w:rsidP="00BE01B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об экспертных группах при аттестационной комиссии Министерства образования и науки Республики Татарстан.</w:t>
      </w:r>
    </w:p>
    <w:p w:rsidR="00BE01BA" w:rsidRDefault="00BE01BA" w:rsidP="00BE01BA">
      <w:pPr>
        <w:pStyle w:val="a3"/>
        <w:ind w:left="0"/>
        <w:jc w:val="both"/>
        <w:rPr>
          <w:sz w:val="28"/>
          <w:szCs w:val="28"/>
        </w:rPr>
      </w:pPr>
    </w:p>
    <w:p w:rsidR="00334FC7" w:rsidRDefault="00334FC7" w:rsidP="00BE01BA">
      <w:pPr>
        <w:pStyle w:val="a3"/>
        <w:ind w:left="0"/>
        <w:jc w:val="both"/>
        <w:rPr>
          <w:sz w:val="28"/>
          <w:szCs w:val="28"/>
        </w:rPr>
      </w:pPr>
      <w:r w:rsidRPr="00BE01BA">
        <w:rPr>
          <w:sz w:val="28"/>
          <w:szCs w:val="28"/>
        </w:rPr>
        <w:t xml:space="preserve">2.  Считать утратившим силу </w:t>
      </w:r>
      <w:r w:rsidR="00BE01BA" w:rsidRPr="00BE01BA">
        <w:rPr>
          <w:sz w:val="28"/>
          <w:szCs w:val="28"/>
        </w:rPr>
        <w:t>приказ Министерства образования и науки Республики Татарстан от 1</w:t>
      </w:r>
      <w:r w:rsidR="00E40CCE">
        <w:rPr>
          <w:sz w:val="28"/>
          <w:szCs w:val="28"/>
        </w:rPr>
        <w:t xml:space="preserve">4 июля </w:t>
      </w:r>
      <w:r w:rsidR="00BE01BA" w:rsidRPr="00BE01BA">
        <w:rPr>
          <w:sz w:val="28"/>
          <w:szCs w:val="28"/>
        </w:rPr>
        <w:t>201</w:t>
      </w:r>
      <w:r w:rsidR="00E40CCE">
        <w:rPr>
          <w:sz w:val="28"/>
          <w:szCs w:val="28"/>
        </w:rPr>
        <w:t>4</w:t>
      </w:r>
      <w:r w:rsidR="00BE01BA" w:rsidRPr="00BE01BA">
        <w:rPr>
          <w:sz w:val="28"/>
          <w:szCs w:val="28"/>
        </w:rPr>
        <w:t xml:space="preserve"> г.  № </w:t>
      </w:r>
      <w:r w:rsidR="00E40CCE">
        <w:rPr>
          <w:sz w:val="28"/>
          <w:szCs w:val="28"/>
        </w:rPr>
        <w:t>3970</w:t>
      </w:r>
      <w:r w:rsidR="00BE01BA" w:rsidRPr="00BE01BA">
        <w:rPr>
          <w:sz w:val="28"/>
          <w:szCs w:val="28"/>
        </w:rPr>
        <w:t>/1</w:t>
      </w:r>
      <w:r w:rsidR="00E40CCE">
        <w:rPr>
          <w:sz w:val="28"/>
          <w:szCs w:val="28"/>
        </w:rPr>
        <w:t>4</w:t>
      </w:r>
      <w:r w:rsidR="00BE01BA" w:rsidRPr="00BE01BA">
        <w:rPr>
          <w:sz w:val="28"/>
          <w:szCs w:val="28"/>
        </w:rPr>
        <w:t xml:space="preserve"> </w:t>
      </w:r>
      <w:r w:rsidR="00BE01BA">
        <w:rPr>
          <w:sz w:val="28"/>
          <w:szCs w:val="28"/>
        </w:rPr>
        <w:t>«</w:t>
      </w:r>
      <w:r w:rsidR="00BE01BA" w:rsidRPr="00BE01BA">
        <w:rPr>
          <w:sz w:val="28"/>
          <w:szCs w:val="28"/>
        </w:rPr>
        <w:t>Об утверждении Положения об экспертных группах  при аттестационной комиссии</w:t>
      </w:r>
      <w:r w:rsidR="00BE01BA">
        <w:rPr>
          <w:sz w:val="28"/>
          <w:szCs w:val="28"/>
        </w:rPr>
        <w:t xml:space="preserve"> </w:t>
      </w:r>
      <w:r w:rsidR="00BE01BA" w:rsidRPr="00BE01BA">
        <w:rPr>
          <w:sz w:val="28"/>
          <w:szCs w:val="28"/>
        </w:rPr>
        <w:t>Министерства образования и науки Республики Татарстан</w:t>
      </w:r>
      <w:r w:rsidR="00BE01BA">
        <w:rPr>
          <w:sz w:val="28"/>
          <w:szCs w:val="28"/>
        </w:rPr>
        <w:t>».</w:t>
      </w: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334FC7" w:rsidRDefault="00334FC7" w:rsidP="00F1109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    Отделу кадровой политики Министерства образования и науки Республики Татарстан (</w:t>
      </w:r>
      <w:r w:rsidR="00E40CCE">
        <w:rPr>
          <w:sz w:val="28"/>
          <w:szCs w:val="28"/>
        </w:rPr>
        <w:t>Т.А. Иванова</w:t>
      </w:r>
      <w:r>
        <w:rPr>
          <w:sz w:val="28"/>
          <w:szCs w:val="28"/>
        </w:rPr>
        <w:t xml:space="preserve">) довести настоящий приказ до сведения руководителей муниципальных органов управления образованием и образовательных </w:t>
      </w:r>
      <w:r w:rsidR="00F1109F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Республики Татарстан.</w:t>
      </w: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334FC7" w:rsidRDefault="00334FC7" w:rsidP="001F081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первого заместителя министра </w:t>
      </w:r>
      <w:r w:rsidR="009271BE">
        <w:rPr>
          <w:sz w:val="28"/>
          <w:szCs w:val="28"/>
        </w:rPr>
        <w:t>А.И.</w:t>
      </w:r>
      <w:r w:rsidR="00260E5D">
        <w:rPr>
          <w:sz w:val="28"/>
          <w:szCs w:val="28"/>
        </w:rPr>
        <w:t xml:space="preserve"> </w:t>
      </w:r>
      <w:r w:rsidR="009271BE">
        <w:rPr>
          <w:sz w:val="28"/>
          <w:szCs w:val="28"/>
        </w:rPr>
        <w:t>Поминова</w:t>
      </w:r>
      <w:r>
        <w:rPr>
          <w:sz w:val="28"/>
          <w:szCs w:val="28"/>
        </w:rPr>
        <w:t>.</w:t>
      </w: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334FC7" w:rsidRDefault="00334FC7" w:rsidP="00334FC7">
      <w:pPr>
        <w:pStyle w:val="a3"/>
        <w:ind w:left="0"/>
        <w:rPr>
          <w:sz w:val="28"/>
          <w:szCs w:val="28"/>
        </w:rPr>
      </w:pPr>
    </w:p>
    <w:p w:rsidR="00F1109F" w:rsidRDefault="00F1109F" w:rsidP="00334FC7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Премьер – министра </w:t>
      </w:r>
    </w:p>
    <w:p w:rsidR="00334FC7" w:rsidRDefault="00F1109F" w:rsidP="00334FC7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Республики Татарстан - м</w:t>
      </w:r>
      <w:r w:rsidR="00334FC7">
        <w:rPr>
          <w:sz w:val="28"/>
          <w:szCs w:val="28"/>
        </w:rPr>
        <w:t>инистр</w:t>
      </w:r>
      <w:r w:rsidR="00334FC7">
        <w:rPr>
          <w:sz w:val="28"/>
          <w:szCs w:val="28"/>
        </w:rPr>
        <w:tab/>
      </w:r>
      <w:r w:rsidR="00334FC7">
        <w:rPr>
          <w:sz w:val="28"/>
          <w:szCs w:val="28"/>
        </w:rPr>
        <w:tab/>
      </w:r>
      <w:r w:rsidR="00334FC7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>Э.Н. Фаттахов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976"/>
      </w:tblGrid>
      <w:tr w:rsidR="00334FC7" w:rsidTr="00DA7E77">
        <w:tc>
          <w:tcPr>
            <w:tcW w:w="4877" w:type="dxa"/>
          </w:tcPr>
          <w:p w:rsidR="00334FC7" w:rsidRDefault="00334FC7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976" w:type="dxa"/>
            <w:hideMark/>
          </w:tcPr>
          <w:p w:rsidR="00E40CCE" w:rsidRDefault="00E40CCE">
            <w:pPr>
              <w:rPr>
                <w:lang w:eastAsia="en-US"/>
              </w:rPr>
            </w:pPr>
          </w:p>
          <w:p w:rsidR="00E40CCE" w:rsidRDefault="00E40CCE">
            <w:pPr>
              <w:rPr>
                <w:lang w:eastAsia="en-US"/>
              </w:rPr>
            </w:pPr>
          </w:p>
          <w:p w:rsidR="00334FC7" w:rsidRPr="009271BE" w:rsidRDefault="00334FC7">
            <w:pPr>
              <w:rPr>
                <w:lang w:eastAsia="en-US"/>
              </w:rPr>
            </w:pPr>
            <w:bookmarkStart w:id="0" w:name="_GoBack"/>
            <w:bookmarkEnd w:id="0"/>
            <w:r w:rsidRPr="009271BE">
              <w:rPr>
                <w:lang w:eastAsia="en-US"/>
              </w:rPr>
              <w:lastRenderedPageBreak/>
              <w:t xml:space="preserve">Приложение к приказу Министерства образования и науки Республики Татарстан </w:t>
            </w:r>
          </w:p>
          <w:p w:rsidR="00334FC7" w:rsidRPr="009271BE" w:rsidRDefault="00334FC7" w:rsidP="00431A51">
            <w:pPr>
              <w:rPr>
                <w:lang w:eastAsia="en-US"/>
              </w:rPr>
            </w:pPr>
            <w:r w:rsidRPr="009271BE">
              <w:rPr>
                <w:lang w:eastAsia="en-US"/>
              </w:rPr>
              <w:t>от          201</w:t>
            </w:r>
            <w:r w:rsidR="00431A51">
              <w:rPr>
                <w:lang w:eastAsia="en-US"/>
              </w:rPr>
              <w:t>5</w:t>
            </w:r>
            <w:r w:rsidRPr="009271BE">
              <w:rPr>
                <w:lang w:eastAsia="en-US"/>
              </w:rPr>
              <w:t xml:space="preserve"> г</w:t>
            </w:r>
            <w:proofErr w:type="gramStart"/>
            <w:r w:rsidRPr="009271BE">
              <w:rPr>
                <w:lang w:eastAsia="en-US"/>
              </w:rPr>
              <w:t xml:space="preserve">             .</w:t>
            </w:r>
            <w:proofErr w:type="gramEnd"/>
            <w:r w:rsidRPr="009271BE">
              <w:rPr>
                <w:lang w:eastAsia="en-US"/>
              </w:rPr>
              <w:t xml:space="preserve">№ </w:t>
            </w:r>
          </w:p>
        </w:tc>
      </w:tr>
    </w:tbl>
    <w:p w:rsidR="00D75012" w:rsidRPr="007E6DC9" w:rsidRDefault="00D75012" w:rsidP="004C4FFA">
      <w:pPr>
        <w:ind w:left="284"/>
        <w:jc w:val="center"/>
        <w:rPr>
          <w:b/>
          <w:sz w:val="28"/>
          <w:szCs w:val="28"/>
        </w:rPr>
      </w:pPr>
      <w:r w:rsidRPr="007E6DC9">
        <w:rPr>
          <w:b/>
          <w:sz w:val="28"/>
          <w:szCs w:val="28"/>
        </w:rPr>
        <w:lastRenderedPageBreak/>
        <w:t xml:space="preserve">Положение об </w:t>
      </w:r>
      <w:r w:rsidR="003B501D" w:rsidRPr="007E6DC9">
        <w:rPr>
          <w:b/>
          <w:sz w:val="28"/>
          <w:szCs w:val="28"/>
        </w:rPr>
        <w:t>экспертных групп</w:t>
      </w:r>
      <w:r w:rsidRPr="007E6DC9">
        <w:rPr>
          <w:b/>
          <w:sz w:val="28"/>
          <w:szCs w:val="28"/>
        </w:rPr>
        <w:t>ах</w:t>
      </w:r>
      <w:r w:rsidR="00EB592D" w:rsidRPr="007E6DC9">
        <w:rPr>
          <w:b/>
          <w:sz w:val="28"/>
          <w:szCs w:val="28"/>
        </w:rPr>
        <w:t xml:space="preserve"> </w:t>
      </w:r>
      <w:r w:rsidRPr="007E6DC9">
        <w:rPr>
          <w:b/>
          <w:sz w:val="28"/>
          <w:szCs w:val="28"/>
        </w:rPr>
        <w:t xml:space="preserve"> при аттестационной комиссии</w:t>
      </w:r>
    </w:p>
    <w:p w:rsidR="008659FA" w:rsidRPr="007E6DC9" w:rsidRDefault="00D75012" w:rsidP="004C4FFA">
      <w:pPr>
        <w:ind w:left="284"/>
        <w:jc w:val="center"/>
        <w:rPr>
          <w:b/>
          <w:sz w:val="28"/>
          <w:szCs w:val="28"/>
        </w:rPr>
      </w:pPr>
      <w:r w:rsidRPr="007E6DC9">
        <w:rPr>
          <w:b/>
          <w:sz w:val="28"/>
          <w:szCs w:val="28"/>
        </w:rPr>
        <w:t xml:space="preserve">Министерства образования и науки </w:t>
      </w:r>
      <w:r w:rsidR="008659FA" w:rsidRPr="007E6DC9">
        <w:rPr>
          <w:b/>
          <w:sz w:val="28"/>
          <w:szCs w:val="28"/>
        </w:rPr>
        <w:t>Республики Татарстан</w:t>
      </w:r>
    </w:p>
    <w:p w:rsidR="00D75012" w:rsidRPr="007E6DC9" w:rsidRDefault="00D75012" w:rsidP="004C4FFA">
      <w:pPr>
        <w:ind w:left="284"/>
        <w:jc w:val="center"/>
        <w:rPr>
          <w:b/>
          <w:sz w:val="28"/>
          <w:szCs w:val="28"/>
        </w:rPr>
      </w:pPr>
    </w:p>
    <w:p w:rsidR="00D75012" w:rsidRDefault="00D75012" w:rsidP="00431A51">
      <w:p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1.Общие положения</w:t>
      </w:r>
    </w:p>
    <w:p w:rsidR="00F124B8" w:rsidRPr="008659FA" w:rsidRDefault="00F124B8" w:rsidP="004C4FFA">
      <w:pPr>
        <w:ind w:left="284"/>
        <w:jc w:val="center"/>
        <w:rPr>
          <w:b/>
          <w:sz w:val="26"/>
          <w:szCs w:val="26"/>
        </w:rPr>
      </w:pPr>
    </w:p>
    <w:p w:rsidR="00F1109F" w:rsidRDefault="00023DAE" w:rsidP="007B61CF">
      <w:pPr>
        <w:jc w:val="both"/>
        <w:rPr>
          <w:sz w:val="28"/>
          <w:szCs w:val="28"/>
        </w:rPr>
      </w:pPr>
      <w:r w:rsidRPr="00EB592D">
        <w:rPr>
          <w:sz w:val="28"/>
          <w:szCs w:val="28"/>
        </w:rPr>
        <w:t xml:space="preserve">    </w:t>
      </w:r>
      <w:r w:rsidR="008659FA" w:rsidRPr="00EB592D">
        <w:rPr>
          <w:sz w:val="28"/>
          <w:szCs w:val="28"/>
        </w:rPr>
        <w:t>1.1.</w:t>
      </w:r>
      <w:r w:rsidR="00B44A66">
        <w:rPr>
          <w:sz w:val="28"/>
          <w:szCs w:val="28"/>
        </w:rPr>
        <w:t xml:space="preserve"> </w:t>
      </w:r>
      <w:r w:rsidR="00D75012">
        <w:rPr>
          <w:sz w:val="28"/>
          <w:szCs w:val="28"/>
        </w:rPr>
        <w:t xml:space="preserve">Настоящее Положение разработано на основании пункта </w:t>
      </w:r>
      <w:r w:rsidR="00F1109F">
        <w:rPr>
          <w:sz w:val="28"/>
          <w:szCs w:val="28"/>
        </w:rPr>
        <w:t xml:space="preserve">26 </w:t>
      </w:r>
      <w:r w:rsidR="00F1109F" w:rsidRPr="00F1109F">
        <w:rPr>
          <w:sz w:val="28"/>
          <w:szCs w:val="28"/>
        </w:rPr>
        <w:t>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 2014 г.  № 276</w:t>
      </w:r>
      <w:r w:rsidR="00F1109F">
        <w:rPr>
          <w:sz w:val="28"/>
          <w:szCs w:val="28"/>
        </w:rPr>
        <w:t>.</w:t>
      </w:r>
    </w:p>
    <w:p w:rsidR="008659FA" w:rsidRDefault="00A059C5" w:rsidP="007B61CF">
      <w:pPr>
        <w:jc w:val="both"/>
        <w:rPr>
          <w:sz w:val="28"/>
          <w:szCs w:val="28"/>
        </w:rPr>
      </w:pPr>
      <w:r w:rsidRPr="00EB592D">
        <w:rPr>
          <w:sz w:val="28"/>
          <w:szCs w:val="28"/>
        </w:rPr>
        <w:t xml:space="preserve">    1.2. </w:t>
      </w:r>
      <w:r w:rsidR="003B501D" w:rsidRPr="00EB592D">
        <w:rPr>
          <w:sz w:val="28"/>
          <w:szCs w:val="28"/>
        </w:rPr>
        <w:t>Экспертные группы</w:t>
      </w:r>
      <w:r w:rsidR="004C4FFA">
        <w:rPr>
          <w:sz w:val="28"/>
          <w:szCs w:val="28"/>
        </w:rPr>
        <w:t xml:space="preserve"> </w:t>
      </w:r>
      <w:r w:rsidR="003B501D" w:rsidRPr="00EB592D">
        <w:rPr>
          <w:sz w:val="28"/>
          <w:szCs w:val="28"/>
        </w:rPr>
        <w:t>создаются при аттестационной комиссии Министерства образования и науки Республики Татарстан</w:t>
      </w:r>
      <w:r w:rsidR="003210B7">
        <w:rPr>
          <w:sz w:val="28"/>
          <w:szCs w:val="28"/>
        </w:rPr>
        <w:t xml:space="preserve"> (далее – аттестационная комиссия)</w:t>
      </w:r>
      <w:r w:rsidR="003B501D" w:rsidRPr="00EB592D">
        <w:rPr>
          <w:sz w:val="28"/>
          <w:szCs w:val="28"/>
        </w:rPr>
        <w:t xml:space="preserve"> в целях</w:t>
      </w:r>
      <w:r w:rsidR="00F1109F" w:rsidRPr="00F1109F">
        <w:t xml:space="preserve"> </w:t>
      </w:r>
      <w:r w:rsidR="00A74187" w:rsidRPr="00A74187">
        <w:rPr>
          <w:sz w:val="28"/>
          <w:szCs w:val="28"/>
        </w:rPr>
        <w:t>всестороннего анализа</w:t>
      </w:r>
      <w:r w:rsidR="00A74187" w:rsidRPr="00A74187">
        <w:t xml:space="preserve"> </w:t>
      </w:r>
      <w:r w:rsidR="00A74187">
        <w:rPr>
          <w:sz w:val="28"/>
          <w:szCs w:val="28"/>
        </w:rPr>
        <w:t>(</w:t>
      </w:r>
      <w:r w:rsidR="00F1109F" w:rsidRPr="00F1109F">
        <w:rPr>
          <w:sz w:val="28"/>
          <w:szCs w:val="28"/>
        </w:rPr>
        <w:t>оценки</w:t>
      </w:r>
      <w:r w:rsidR="00A74187">
        <w:rPr>
          <w:sz w:val="28"/>
          <w:szCs w:val="28"/>
        </w:rPr>
        <w:t>)</w:t>
      </w:r>
      <w:r w:rsidR="00F1109F" w:rsidRPr="00F1109F">
        <w:rPr>
          <w:sz w:val="28"/>
          <w:szCs w:val="28"/>
        </w:rPr>
        <w:t xml:space="preserve"> профессиональной деятельности</w:t>
      </w:r>
      <w:r w:rsidR="003B501D" w:rsidRPr="00EB592D">
        <w:rPr>
          <w:sz w:val="28"/>
          <w:szCs w:val="28"/>
        </w:rPr>
        <w:t xml:space="preserve"> аттестуемых педагогических работников</w:t>
      </w:r>
      <w:r w:rsidR="00A74187" w:rsidRPr="00A74187">
        <w:t xml:space="preserve"> </w:t>
      </w:r>
      <w:r w:rsidR="00A74187" w:rsidRPr="00A74187">
        <w:rPr>
          <w:sz w:val="28"/>
          <w:szCs w:val="28"/>
        </w:rPr>
        <w:t>для установления квалификационной категории</w:t>
      </w:r>
      <w:r w:rsidR="003B501D" w:rsidRPr="00EB592D">
        <w:rPr>
          <w:sz w:val="28"/>
          <w:szCs w:val="28"/>
        </w:rPr>
        <w:t>.</w:t>
      </w:r>
    </w:p>
    <w:p w:rsidR="004C4FFA" w:rsidRDefault="004C4FFA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B592D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EB592D">
        <w:rPr>
          <w:sz w:val="28"/>
          <w:szCs w:val="28"/>
        </w:rPr>
        <w:t>и график</w:t>
      </w:r>
      <w:r w:rsidR="00334FC7">
        <w:rPr>
          <w:sz w:val="28"/>
          <w:szCs w:val="28"/>
        </w:rPr>
        <w:t xml:space="preserve"> работы экспертной</w:t>
      </w:r>
      <w:r w:rsidRPr="00EB592D">
        <w:rPr>
          <w:sz w:val="28"/>
          <w:szCs w:val="28"/>
        </w:rPr>
        <w:t xml:space="preserve"> групп</w:t>
      </w:r>
      <w:r w:rsidR="00334F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B592D">
        <w:rPr>
          <w:sz w:val="28"/>
          <w:szCs w:val="28"/>
        </w:rPr>
        <w:t>утверждаются приказом Министерства образования и науки Республики Татарстан</w:t>
      </w:r>
      <w:r>
        <w:rPr>
          <w:sz w:val="28"/>
          <w:szCs w:val="28"/>
        </w:rPr>
        <w:t>.</w:t>
      </w:r>
    </w:p>
    <w:p w:rsidR="00D75012" w:rsidRDefault="00D75012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6792">
        <w:rPr>
          <w:sz w:val="28"/>
          <w:szCs w:val="28"/>
        </w:rPr>
        <w:t xml:space="preserve"> </w:t>
      </w:r>
      <w:r>
        <w:rPr>
          <w:sz w:val="28"/>
          <w:szCs w:val="28"/>
        </w:rPr>
        <w:t>1.3. Основными принципами деятельности экспертных групп является коллегиальность, гласность, открытость, обеспечивающие объективное отношение к  педагогическим работникам, недопустимость дискриминации при проведении аттестации.</w:t>
      </w:r>
    </w:p>
    <w:p w:rsidR="00D75012" w:rsidRDefault="00D75012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6DC9">
        <w:rPr>
          <w:sz w:val="28"/>
          <w:szCs w:val="28"/>
        </w:rPr>
        <w:t xml:space="preserve"> </w:t>
      </w:r>
      <w:r w:rsidR="00266792">
        <w:rPr>
          <w:sz w:val="28"/>
          <w:szCs w:val="28"/>
        </w:rPr>
        <w:t xml:space="preserve"> </w:t>
      </w:r>
      <w:r>
        <w:rPr>
          <w:sz w:val="28"/>
          <w:szCs w:val="28"/>
        </w:rPr>
        <w:t>1.4.  Основными задачами деятельности экспертных групп являются:</w:t>
      </w:r>
    </w:p>
    <w:p w:rsidR="00D75012" w:rsidRDefault="00D75012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анализ и оценка компет</w:t>
      </w:r>
      <w:r w:rsidR="00784F2C">
        <w:rPr>
          <w:sz w:val="28"/>
          <w:szCs w:val="28"/>
        </w:rPr>
        <w:t>е</w:t>
      </w:r>
      <w:r>
        <w:rPr>
          <w:sz w:val="28"/>
          <w:szCs w:val="28"/>
        </w:rPr>
        <w:t>нтности педагогических работников</w:t>
      </w:r>
      <w:r w:rsidR="00784F2C">
        <w:rPr>
          <w:sz w:val="28"/>
          <w:szCs w:val="28"/>
        </w:rPr>
        <w:t>, результатов профессиональной деятельности педагогических работников, аттестуемых на первую, вы</w:t>
      </w:r>
      <w:r w:rsidR="004D6B5B">
        <w:rPr>
          <w:sz w:val="28"/>
          <w:szCs w:val="28"/>
        </w:rPr>
        <w:t>сшую квалификационные категории;</w:t>
      </w:r>
    </w:p>
    <w:p w:rsidR="00784F2C" w:rsidRDefault="00784F2C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оформление экспертных листов и экспертных заключений по результатам экспертизы;</w:t>
      </w:r>
    </w:p>
    <w:p w:rsidR="00784F2C" w:rsidRDefault="00784F2C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4A66">
        <w:rPr>
          <w:sz w:val="28"/>
          <w:szCs w:val="28"/>
        </w:rPr>
        <w:t xml:space="preserve">подготовка предложений </w:t>
      </w:r>
      <w:r>
        <w:rPr>
          <w:sz w:val="28"/>
          <w:szCs w:val="28"/>
        </w:rPr>
        <w:t>для аттестационной комиссии о соответствии (несоответствии) аттестуемых педагогических работников требованиям заявленной квалификационной категории (первой или высшей);</w:t>
      </w:r>
    </w:p>
    <w:p w:rsidR="00784F2C" w:rsidRDefault="00784F2C" w:rsidP="007B6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1F5694">
        <w:rPr>
          <w:sz w:val="28"/>
          <w:szCs w:val="28"/>
        </w:rPr>
        <w:t>с</w:t>
      </w:r>
      <w:r>
        <w:rPr>
          <w:sz w:val="28"/>
          <w:szCs w:val="28"/>
        </w:rPr>
        <w:t>одействие повышению уровня квалификации педагогических работников.</w:t>
      </w:r>
    </w:p>
    <w:p w:rsidR="001F5694" w:rsidRDefault="007E6DC9" w:rsidP="007E6D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6792">
        <w:rPr>
          <w:sz w:val="28"/>
          <w:szCs w:val="28"/>
        </w:rPr>
        <w:t xml:space="preserve"> </w:t>
      </w:r>
      <w:r w:rsidR="001F569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1F5694">
        <w:rPr>
          <w:sz w:val="28"/>
          <w:szCs w:val="28"/>
        </w:rPr>
        <w:t>. Участие  в работе экспертных групп не должно наносить ущерб основной деятельности по месту работы экспертов.</w:t>
      </w:r>
    </w:p>
    <w:p w:rsidR="001F5694" w:rsidRDefault="001F5694" w:rsidP="001F5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4F2C" w:rsidRDefault="00784F2C" w:rsidP="00431A51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1F5694">
        <w:rPr>
          <w:b/>
          <w:sz w:val="28"/>
          <w:szCs w:val="28"/>
        </w:rPr>
        <w:t>. Сост</w:t>
      </w:r>
      <w:r w:rsidR="001F5694" w:rsidRPr="001F5694">
        <w:rPr>
          <w:b/>
          <w:sz w:val="28"/>
          <w:szCs w:val="28"/>
        </w:rPr>
        <w:t xml:space="preserve">ав и регламент работы экспертной </w:t>
      </w:r>
      <w:r w:rsidRPr="001F5694">
        <w:rPr>
          <w:b/>
          <w:sz w:val="28"/>
          <w:szCs w:val="28"/>
        </w:rPr>
        <w:t xml:space="preserve"> групп</w:t>
      </w:r>
      <w:r w:rsidR="001F5694" w:rsidRPr="001F5694">
        <w:rPr>
          <w:b/>
          <w:sz w:val="28"/>
          <w:szCs w:val="28"/>
        </w:rPr>
        <w:t>ы</w:t>
      </w:r>
    </w:p>
    <w:p w:rsidR="001F5694" w:rsidRDefault="001F5694" w:rsidP="007B61CF">
      <w:pPr>
        <w:jc w:val="both"/>
        <w:rPr>
          <w:sz w:val="28"/>
          <w:szCs w:val="28"/>
        </w:rPr>
      </w:pPr>
    </w:p>
    <w:p w:rsidR="00DA7E77" w:rsidRDefault="001F5694" w:rsidP="00897E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F0503">
        <w:rPr>
          <w:sz w:val="28"/>
          <w:szCs w:val="28"/>
        </w:rPr>
        <w:t xml:space="preserve"> </w:t>
      </w:r>
      <w:r w:rsidR="002D1A69">
        <w:rPr>
          <w:sz w:val="28"/>
          <w:szCs w:val="28"/>
        </w:rPr>
        <w:t xml:space="preserve"> </w:t>
      </w:r>
      <w:r w:rsidR="00266792">
        <w:rPr>
          <w:sz w:val="28"/>
          <w:szCs w:val="28"/>
        </w:rPr>
        <w:t xml:space="preserve"> </w:t>
      </w:r>
      <w:r w:rsidR="00784F2C">
        <w:rPr>
          <w:sz w:val="28"/>
          <w:szCs w:val="28"/>
        </w:rPr>
        <w:t>2.1.</w:t>
      </w:r>
      <w:r w:rsidR="00EB17BC">
        <w:rPr>
          <w:sz w:val="28"/>
          <w:szCs w:val="28"/>
        </w:rPr>
        <w:t xml:space="preserve"> </w:t>
      </w:r>
      <w:r w:rsidR="00897ED3">
        <w:rPr>
          <w:sz w:val="28"/>
          <w:szCs w:val="28"/>
        </w:rPr>
        <w:t>П</w:t>
      </w:r>
      <w:r w:rsidR="00897ED3" w:rsidRPr="00897ED3">
        <w:rPr>
          <w:sz w:val="28"/>
          <w:szCs w:val="28"/>
        </w:rPr>
        <w:t xml:space="preserve">раво проведения экспертизы педагогических работников муниципальных образовательных </w:t>
      </w:r>
      <w:r w:rsidR="00897ED3">
        <w:rPr>
          <w:sz w:val="28"/>
          <w:szCs w:val="28"/>
        </w:rPr>
        <w:t>организаций</w:t>
      </w:r>
      <w:r w:rsidR="00897ED3" w:rsidRPr="00897ED3">
        <w:rPr>
          <w:sz w:val="28"/>
          <w:szCs w:val="28"/>
        </w:rPr>
        <w:t xml:space="preserve">, впервые аттестующихся на </w:t>
      </w:r>
      <w:r w:rsidR="00897ED3">
        <w:rPr>
          <w:sz w:val="28"/>
          <w:szCs w:val="28"/>
        </w:rPr>
        <w:t xml:space="preserve">первую, </w:t>
      </w:r>
      <w:r w:rsidR="00897ED3" w:rsidRPr="00897ED3">
        <w:rPr>
          <w:sz w:val="28"/>
          <w:szCs w:val="28"/>
        </w:rPr>
        <w:t xml:space="preserve">высшую </w:t>
      </w:r>
      <w:r w:rsidR="00897ED3">
        <w:rPr>
          <w:sz w:val="28"/>
          <w:szCs w:val="28"/>
        </w:rPr>
        <w:t xml:space="preserve">квалификационную </w:t>
      </w:r>
      <w:r w:rsidR="00897ED3" w:rsidRPr="00897ED3">
        <w:rPr>
          <w:sz w:val="28"/>
          <w:szCs w:val="28"/>
        </w:rPr>
        <w:t xml:space="preserve">категорию, </w:t>
      </w:r>
      <w:r w:rsidR="00431A51" w:rsidRPr="00431A51">
        <w:rPr>
          <w:sz w:val="28"/>
          <w:szCs w:val="28"/>
        </w:rPr>
        <w:t xml:space="preserve">в том числе и  в электронном виде,  </w:t>
      </w:r>
      <w:r w:rsidR="00897ED3" w:rsidRPr="00897ED3">
        <w:rPr>
          <w:sz w:val="28"/>
          <w:szCs w:val="28"/>
        </w:rPr>
        <w:t xml:space="preserve">делегируется муниципальным </w:t>
      </w:r>
      <w:r w:rsidR="00897ED3">
        <w:rPr>
          <w:sz w:val="28"/>
          <w:szCs w:val="28"/>
        </w:rPr>
        <w:t xml:space="preserve">экспертным </w:t>
      </w:r>
      <w:r w:rsidR="00897ED3" w:rsidRPr="00897ED3">
        <w:rPr>
          <w:sz w:val="28"/>
          <w:szCs w:val="28"/>
        </w:rPr>
        <w:t>комиссиям</w:t>
      </w:r>
      <w:r w:rsidR="00DA7E77">
        <w:rPr>
          <w:sz w:val="28"/>
          <w:szCs w:val="28"/>
        </w:rPr>
        <w:t>,</w:t>
      </w:r>
      <w:r w:rsidR="00DA7E77" w:rsidRPr="00DA7E77">
        <w:t xml:space="preserve"> </w:t>
      </w:r>
      <w:r w:rsidR="00897ED3" w:rsidRPr="00897ED3">
        <w:rPr>
          <w:sz w:val="28"/>
          <w:szCs w:val="28"/>
        </w:rPr>
        <w:t>при наличии у них квалифицированных обученных экспертов, специалистов по профилю деятельности аттестующихся работников</w:t>
      </w:r>
      <w:r w:rsidR="00DA7E77">
        <w:rPr>
          <w:sz w:val="28"/>
          <w:szCs w:val="28"/>
        </w:rPr>
        <w:t>.</w:t>
      </w:r>
    </w:p>
    <w:p w:rsidR="00897ED3" w:rsidRDefault="0064613E" w:rsidP="00897E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897ED3" w:rsidRPr="00897ED3">
        <w:rPr>
          <w:sz w:val="28"/>
          <w:szCs w:val="28"/>
        </w:rPr>
        <w:t>В случае несогласия аттестуемого работника с выводами муниципальной экспертной группы аттестационная комиссия проводит повторную внешнюю экспертизу по ходатайству работника.</w:t>
      </w:r>
    </w:p>
    <w:p w:rsidR="001F5694" w:rsidRDefault="00897ED3" w:rsidP="001F56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5694">
        <w:rPr>
          <w:sz w:val="28"/>
          <w:szCs w:val="28"/>
        </w:rPr>
        <w:t xml:space="preserve">Численность </w:t>
      </w:r>
      <w:r w:rsidR="004D6B5B">
        <w:rPr>
          <w:sz w:val="28"/>
          <w:szCs w:val="28"/>
        </w:rPr>
        <w:t xml:space="preserve">экспертных групп </w:t>
      </w:r>
      <w:r w:rsidR="00151F04">
        <w:rPr>
          <w:sz w:val="28"/>
          <w:szCs w:val="28"/>
        </w:rPr>
        <w:t>определяется из расчета два эксперта</w:t>
      </w:r>
      <w:r w:rsidR="001F5694">
        <w:rPr>
          <w:sz w:val="28"/>
          <w:szCs w:val="28"/>
        </w:rPr>
        <w:t xml:space="preserve"> </w:t>
      </w:r>
      <w:r w:rsidR="00151F04">
        <w:rPr>
          <w:sz w:val="28"/>
          <w:szCs w:val="28"/>
        </w:rPr>
        <w:t xml:space="preserve">для проведения профессиональной экспертизы </w:t>
      </w:r>
      <w:r w:rsidR="001F5694">
        <w:rPr>
          <w:sz w:val="28"/>
          <w:szCs w:val="28"/>
        </w:rPr>
        <w:t>одного аттестуемого педагога.</w:t>
      </w:r>
    </w:p>
    <w:p w:rsidR="00B44A66" w:rsidRDefault="00B44A66" w:rsidP="001F5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принципа независимости экспертной оценки в</w:t>
      </w:r>
      <w:r w:rsidR="00EB17BC">
        <w:rPr>
          <w:sz w:val="28"/>
          <w:szCs w:val="28"/>
        </w:rPr>
        <w:t xml:space="preserve"> состав </w:t>
      </w:r>
      <w:r w:rsidR="001F5694">
        <w:rPr>
          <w:sz w:val="28"/>
          <w:szCs w:val="28"/>
        </w:rPr>
        <w:t xml:space="preserve">каждой </w:t>
      </w:r>
      <w:r w:rsidR="00EB17BC">
        <w:rPr>
          <w:sz w:val="28"/>
          <w:szCs w:val="28"/>
        </w:rPr>
        <w:t>экспертной группы</w:t>
      </w:r>
      <w:r w:rsidR="001F5694">
        <w:rPr>
          <w:sz w:val="28"/>
          <w:szCs w:val="28"/>
        </w:rPr>
        <w:t xml:space="preserve"> включается </w:t>
      </w:r>
      <w:r w:rsidR="005F0503">
        <w:rPr>
          <w:sz w:val="28"/>
          <w:szCs w:val="28"/>
        </w:rPr>
        <w:t xml:space="preserve">один </w:t>
      </w:r>
      <w:r>
        <w:rPr>
          <w:sz w:val="28"/>
          <w:szCs w:val="28"/>
        </w:rPr>
        <w:t>внешний</w:t>
      </w:r>
      <w:r w:rsidR="001F5694">
        <w:rPr>
          <w:sz w:val="28"/>
          <w:szCs w:val="28"/>
        </w:rPr>
        <w:t xml:space="preserve"> эксперт</w:t>
      </w:r>
      <w:r>
        <w:rPr>
          <w:sz w:val="28"/>
          <w:szCs w:val="28"/>
        </w:rPr>
        <w:t>, то есть представляющий другие образовательные организации.</w:t>
      </w:r>
      <w:r w:rsidR="001F5694">
        <w:rPr>
          <w:sz w:val="28"/>
          <w:szCs w:val="28"/>
        </w:rPr>
        <w:t xml:space="preserve"> </w:t>
      </w:r>
    </w:p>
    <w:p w:rsidR="005F0503" w:rsidRPr="00EB592D" w:rsidRDefault="00B44A66" w:rsidP="001F5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Вторым</w:t>
      </w:r>
      <w:r w:rsidR="001F5694">
        <w:rPr>
          <w:sz w:val="28"/>
          <w:szCs w:val="28"/>
        </w:rPr>
        <w:t xml:space="preserve"> </w:t>
      </w:r>
      <w:r w:rsidR="005F0503" w:rsidRPr="00EB592D">
        <w:rPr>
          <w:sz w:val="28"/>
          <w:szCs w:val="28"/>
        </w:rPr>
        <w:t>эксперт</w:t>
      </w:r>
      <w:r>
        <w:rPr>
          <w:sz w:val="28"/>
          <w:szCs w:val="28"/>
        </w:rPr>
        <w:t>ом, как правило, назначается</w:t>
      </w:r>
      <w:r w:rsidR="001F5694">
        <w:rPr>
          <w:sz w:val="28"/>
          <w:szCs w:val="28"/>
        </w:rPr>
        <w:t xml:space="preserve"> </w:t>
      </w:r>
      <w:r w:rsidR="005F0503" w:rsidRPr="00EB592D">
        <w:rPr>
          <w:sz w:val="28"/>
          <w:szCs w:val="28"/>
        </w:rPr>
        <w:t>представитель администрации образовательно</w:t>
      </w:r>
      <w:r w:rsidR="00AA66B4">
        <w:rPr>
          <w:sz w:val="28"/>
          <w:szCs w:val="28"/>
        </w:rPr>
        <w:t>й организации</w:t>
      </w:r>
      <w:r w:rsidR="005F0503">
        <w:rPr>
          <w:sz w:val="28"/>
          <w:szCs w:val="28"/>
        </w:rPr>
        <w:t>, в котором осуществляет образовательную деятельность</w:t>
      </w:r>
      <w:r w:rsidR="005F0503" w:rsidRPr="00EB592D">
        <w:rPr>
          <w:sz w:val="28"/>
          <w:szCs w:val="28"/>
        </w:rPr>
        <w:t xml:space="preserve"> </w:t>
      </w:r>
      <w:r w:rsidR="005F0503">
        <w:rPr>
          <w:sz w:val="28"/>
          <w:szCs w:val="28"/>
        </w:rPr>
        <w:t>аттестуемый</w:t>
      </w:r>
      <w:r w:rsidR="005F0503" w:rsidRPr="00EB592D">
        <w:rPr>
          <w:sz w:val="28"/>
          <w:szCs w:val="28"/>
        </w:rPr>
        <w:t xml:space="preserve"> педагогическ</w:t>
      </w:r>
      <w:r w:rsidR="005F0503">
        <w:rPr>
          <w:sz w:val="28"/>
          <w:szCs w:val="28"/>
        </w:rPr>
        <w:t>ий работник</w:t>
      </w:r>
      <w:r w:rsidR="00D20F0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 внутренний эксперт</w:t>
      </w:r>
      <w:r w:rsidR="00D20F02">
        <w:rPr>
          <w:sz w:val="28"/>
          <w:szCs w:val="28"/>
        </w:rPr>
        <w:t>)</w:t>
      </w:r>
      <w:r w:rsidR="005F0503" w:rsidRPr="00EB592D">
        <w:rPr>
          <w:sz w:val="28"/>
          <w:szCs w:val="28"/>
        </w:rPr>
        <w:t>.</w:t>
      </w:r>
    </w:p>
    <w:p w:rsidR="005F0503" w:rsidRDefault="005F0503" w:rsidP="007B61CF">
      <w:pPr>
        <w:jc w:val="both"/>
        <w:rPr>
          <w:sz w:val="26"/>
          <w:szCs w:val="26"/>
        </w:rPr>
      </w:pPr>
      <w:r w:rsidRPr="00EB592D">
        <w:rPr>
          <w:sz w:val="28"/>
          <w:szCs w:val="28"/>
        </w:rPr>
        <w:t xml:space="preserve">    </w:t>
      </w:r>
      <w:r w:rsidR="001F5694">
        <w:rPr>
          <w:sz w:val="28"/>
          <w:szCs w:val="28"/>
        </w:rPr>
        <w:t xml:space="preserve">  </w:t>
      </w:r>
      <w:r w:rsidR="00B44A66">
        <w:rPr>
          <w:sz w:val="28"/>
          <w:szCs w:val="28"/>
        </w:rPr>
        <w:t xml:space="preserve">  При необходимости</w:t>
      </w:r>
      <w:r w:rsidR="00037FDF">
        <w:rPr>
          <w:sz w:val="28"/>
          <w:szCs w:val="28"/>
        </w:rPr>
        <w:t xml:space="preserve"> (абзац</w:t>
      </w:r>
      <w:r w:rsidR="005F2785">
        <w:rPr>
          <w:sz w:val="28"/>
          <w:szCs w:val="28"/>
        </w:rPr>
        <w:t xml:space="preserve"> второй</w:t>
      </w:r>
      <w:r w:rsidR="00037FDF">
        <w:rPr>
          <w:sz w:val="28"/>
          <w:szCs w:val="28"/>
        </w:rPr>
        <w:t xml:space="preserve">, </w:t>
      </w:r>
      <w:r w:rsidR="005F2785">
        <w:rPr>
          <w:sz w:val="28"/>
          <w:szCs w:val="28"/>
        </w:rPr>
        <w:t>третий</w:t>
      </w:r>
      <w:r w:rsidR="009F26B4">
        <w:rPr>
          <w:sz w:val="28"/>
          <w:szCs w:val="28"/>
        </w:rPr>
        <w:t>, пятый</w:t>
      </w:r>
      <w:r w:rsidR="005F2785">
        <w:rPr>
          <w:sz w:val="28"/>
          <w:szCs w:val="28"/>
        </w:rPr>
        <w:t xml:space="preserve"> </w:t>
      </w:r>
      <w:r w:rsidR="00037FDF">
        <w:rPr>
          <w:sz w:val="28"/>
          <w:szCs w:val="28"/>
        </w:rPr>
        <w:t>пункта 2.5 настоящего Положения),</w:t>
      </w:r>
      <w:r w:rsidR="00B44A66">
        <w:rPr>
          <w:sz w:val="28"/>
          <w:szCs w:val="28"/>
        </w:rPr>
        <w:t xml:space="preserve"> по </w:t>
      </w:r>
      <w:r w:rsidR="00037FDF">
        <w:rPr>
          <w:sz w:val="28"/>
          <w:szCs w:val="28"/>
        </w:rPr>
        <w:t>решению аттестационной комиссии</w:t>
      </w:r>
      <w:r w:rsidR="00B44A66">
        <w:rPr>
          <w:sz w:val="28"/>
          <w:szCs w:val="28"/>
        </w:rPr>
        <w:t xml:space="preserve"> экспертная группа формируется только из внешних экспертов.</w:t>
      </w:r>
    </w:p>
    <w:p w:rsidR="001F5694" w:rsidRDefault="00784F2C" w:rsidP="001F56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087E">
        <w:rPr>
          <w:sz w:val="28"/>
          <w:szCs w:val="28"/>
        </w:rPr>
        <w:t>2.</w:t>
      </w:r>
      <w:r w:rsidR="001F5694">
        <w:rPr>
          <w:sz w:val="28"/>
          <w:szCs w:val="28"/>
        </w:rPr>
        <w:t>2</w:t>
      </w:r>
      <w:r w:rsidRPr="007A087E">
        <w:rPr>
          <w:sz w:val="28"/>
          <w:szCs w:val="28"/>
        </w:rPr>
        <w:t xml:space="preserve">. </w:t>
      </w:r>
      <w:r w:rsidR="002D1A69">
        <w:rPr>
          <w:sz w:val="28"/>
          <w:szCs w:val="28"/>
        </w:rPr>
        <w:t>В</w:t>
      </w:r>
      <w:r w:rsidR="001F5694">
        <w:rPr>
          <w:sz w:val="28"/>
          <w:szCs w:val="28"/>
        </w:rPr>
        <w:t xml:space="preserve">нешние эксперты </w:t>
      </w:r>
      <w:r>
        <w:rPr>
          <w:sz w:val="28"/>
          <w:szCs w:val="28"/>
        </w:rPr>
        <w:t>назначаются из числа высококвалифицированных специалистов в области образования</w:t>
      </w:r>
      <w:r w:rsidR="001F5694">
        <w:rPr>
          <w:sz w:val="28"/>
          <w:szCs w:val="28"/>
        </w:rPr>
        <w:t xml:space="preserve"> при </w:t>
      </w:r>
      <w:r w:rsidR="001F5694" w:rsidRPr="007A087E">
        <w:rPr>
          <w:sz w:val="28"/>
          <w:szCs w:val="28"/>
        </w:rPr>
        <w:t xml:space="preserve">наличии </w:t>
      </w:r>
      <w:r w:rsidR="001F5694">
        <w:rPr>
          <w:sz w:val="28"/>
          <w:szCs w:val="28"/>
        </w:rPr>
        <w:t>у н</w:t>
      </w:r>
      <w:r w:rsidR="002D1A69">
        <w:rPr>
          <w:sz w:val="28"/>
          <w:szCs w:val="28"/>
        </w:rPr>
        <w:t>их</w:t>
      </w:r>
      <w:r w:rsidR="001F5694">
        <w:rPr>
          <w:sz w:val="28"/>
          <w:szCs w:val="28"/>
        </w:rPr>
        <w:t xml:space="preserve"> документа (</w:t>
      </w:r>
      <w:r w:rsidR="00AA66B4">
        <w:rPr>
          <w:sz w:val="28"/>
          <w:szCs w:val="28"/>
        </w:rPr>
        <w:t xml:space="preserve">удостоверения, </w:t>
      </w:r>
      <w:r w:rsidR="001F5694">
        <w:rPr>
          <w:sz w:val="28"/>
          <w:szCs w:val="28"/>
        </w:rPr>
        <w:t>сертификата, справки) о прохождении специального обучения для аттестационных экспертов.</w:t>
      </w:r>
    </w:p>
    <w:p w:rsidR="00784F2C" w:rsidRPr="007A087E" w:rsidRDefault="00784F2C" w:rsidP="00784F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087E">
        <w:rPr>
          <w:sz w:val="28"/>
          <w:szCs w:val="28"/>
        </w:rPr>
        <w:t>2.</w:t>
      </w:r>
      <w:r w:rsidR="001F5694">
        <w:rPr>
          <w:sz w:val="28"/>
          <w:szCs w:val="28"/>
        </w:rPr>
        <w:t>3</w:t>
      </w:r>
      <w:r w:rsidRPr="007A087E">
        <w:rPr>
          <w:sz w:val="28"/>
          <w:szCs w:val="28"/>
        </w:rPr>
        <w:t xml:space="preserve">. </w:t>
      </w:r>
      <w:r w:rsidR="001F5694">
        <w:rPr>
          <w:sz w:val="28"/>
          <w:szCs w:val="28"/>
        </w:rPr>
        <w:t xml:space="preserve"> </w:t>
      </w:r>
      <w:r w:rsidR="002D1A69">
        <w:rPr>
          <w:sz w:val="28"/>
          <w:szCs w:val="28"/>
        </w:rPr>
        <w:t>В</w:t>
      </w:r>
      <w:r w:rsidR="001F5694">
        <w:rPr>
          <w:sz w:val="28"/>
          <w:szCs w:val="28"/>
        </w:rPr>
        <w:t>нешний э</w:t>
      </w:r>
      <w:r>
        <w:rPr>
          <w:sz w:val="28"/>
          <w:szCs w:val="28"/>
        </w:rPr>
        <w:t>ксперт</w:t>
      </w:r>
      <w:r w:rsidRPr="007A087E">
        <w:rPr>
          <w:sz w:val="28"/>
          <w:szCs w:val="28"/>
        </w:rPr>
        <w:t xml:space="preserve"> должен иметь:</w:t>
      </w:r>
    </w:p>
    <w:p w:rsidR="00784F2C" w:rsidRPr="007A087E" w:rsidRDefault="001F5694" w:rsidP="00784F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84F2C" w:rsidRPr="007A087E">
        <w:rPr>
          <w:sz w:val="28"/>
          <w:szCs w:val="28"/>
        </w:rPr>
        <w:t>высшее профессиональное (профильное) образование;</w:t>
      </w:r>
    </w:p>
    <w:p w:rsidR="00784F2C" w:rsidRPr="007A087E" w:rsidRDefault="001F5694" w:rsidP="00784F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F2C" w:rsidRPr="007A087E">
        <w:rPr>
          <w:sz w:val="28"/>
          <w:szCs w:val="28"/>
        </w:rPr>
        <w:t xml:space="preserve">высшую квалификационную категорию по </w:t>
      </w:r>
      <w:r w:rsidR="00784F2C">
        <w:rPr>
          <w:sz w:val="28"/>
          <w:szCs w:val="28"/>
        </w:rPr>
        <w:t>должности (</w:t>
      </w:r>
      <w:r w:rsidR="00784F2C" w:rsidRPr="007A087E">
        <w:rPr>
          <w:sz w:val="28"/>
          <w:szCs w:val="28"/>
        </w:rPr>
        <w:t>специальности</w:t>
      </w:r>
      <w:r w:rsidR="00784F2C">
        <w:rPr>
          <w:sz w:val="28"/>
          <w:szCs w:val="28"/>
        </w:rPr>
        <w:t>)</w:t>
      </w:r>
      <w:r w:rsidR="00784F2C" w:rsidRPr="007A087E">
        <w:rPr>
          <w:sz w:val="28"/>
          <w:szCs w:val="28"/>
        </w:rPr>
        <w:t xml:space="preserve">, соответствующей профилю экспертной деятельности; </w:t>
      </w:r>
    </w:p>
    <w:p w:rsidR="00784F2C" w:rsidRDefault="001F5694" w:rsidP="00784F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F2C" w:rsidRPr="007A087E">
        <w:rPr>
          <w:sz w:val="28"/>
          <w:szCs w:val="28"/>
        </w:rPr>
        <w:t xml:space="preserve">стаж практической </w:t>
      </w:r>
      <w:r w:rsidR="00784F2C">
        <w:rPr>
          <w:sz w:val="28"/>
          <w:szCs w:val="28"/>
        </w:rPr>
        <w:t>(педагогической</w:t>
      </w:r>
      <w:r w:rsidR="00784F2C" w:rsidRPr="007A087E">
        <w:rPr>
          <w:sz w:val="28"/>
          <w:szCs w:val="28"/>
        </w:rPr>
        <w:t xml:space="preserve">) работы в соответствующей образовательной области (должности)  не менее </w:t>
      </w:r>
      <w:r w:rsidR="00784F2C">
        <w:rPr>
          <w:sz w:val="28"/>
          <w:szCs w:val="28"/>
        </w:rPr>
        <w:t>пяти  лет.</w:t>
      </w:r>
    </w:p>
    <w:p w:rsidR="00784F2C" w:rsidRDefault="001F5694" w:rsidP="00784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4F2C">
        <w:rPr>
          <w:sz w:val="28"/>
          <w:szCs w:val="28"/>
        </w:rPr>
        <w:t xml:space="preserve">К </w:t>
      </w:r>
      <w:r w:rsidR="002D1A69">
        <w:rPr>
          <w:sz w:val="28"/>
          <w:szCs w:val="28"/>
        </w:rPr>
        <w:t xml:space="preserve">внутренним </w:t>
      </w:r>
      <w:r w:rsidR="00784F2C">
        <w:rPr>
          <w:sz w:val="28"/>
          <w:szCs w:val="28"/>
        </w:rPr>
        <w:t xml:space="preserve">экспертам </w:t>
      </w:r>
      <w:r w:rsidR="004D6B5B">
        <w:rPr>
          <w:sz w:val="28"/>
          <w:szCs w:val="28"/>
        </w:rPr>
        <w:t xml:space="preserve">требования по наличию </w:t>
      </w:r>
      <w:r w:rsidR="00784F2C">
        <w:rPr>
          <w:sz w:val="28"/>
          <w:szCs w:val="28"/>
        </w:rPr>
        <w:t>высшей квалификационной категории и стажа работы не предъявляются</w:t>
      </w:r>
      <w:r w:rsidR="002D1A69">
        <w:rPr>
          <w:sz w:val="28"/>
          <w:szCs w:val="28"/>
        </w:rPr>
        <w:t>.</w:t>
      </w:r>
    </w:p>
    <w:p w:rsidR="00254BC3" w:rsidRDefault="007E6DC9" w:rsidP="00151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7720CB" w:rsidRPr="00952D3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720CB" w:rsidRPr="00952D3A">
        <w:rPr>
          <w:sz w:val="28"/>
          <w:szCs w:val="28"/>
        </w:rPr>
        <w:t>.</w:t>
      </w:r>
      <w:r w:rsidR="00254BC3" w:rsidRPr="00952D3A">
        <w:rPr>
          <w:sz w:val="28"/>
          <w:szCs w:val="28"/>
        </w:rPr>
        <w:t xml:space="preserve"> </w:t>
      </w:r>
      <w:r w:rsidR="00974D43">
        <w:rPr>
          <w:sz w:val="28"/>
          <w:szCs w:val="28"/>
        </w:rPr>
        <w:t>А</w:t>
      </w:r>
      <w:r w:rsidR="00974D43" w:rsidRPr="00974D43">
        <w:rPr>
          <w:sz w:val="28"/>
          <w:szCs w:val="28"/>
        </w:rPr>
        <w:t xml:space="preserve">ттестуемому </w:t>
      </w:r>
      <w:r w:rsidR="009271BE">
        <w:rPr>
          <w:sz w:val="28"/>
          <w:szCs w:val="28"/>
        </w:rPr>
        <w:t xml:space="preserve">работнику </w:t>
      </w:r>
      <w:r w:rsidR="00974D43">
        <w:rPr>
          <w:sz w:val="28"/>
          <w:szCs w:val="28"/>
        </w:rPr>
        <w:t>э</w:t>
      </w:r>
      <w:r w:rsidR="009B2FBD">
        <w:rPr>
          <w:sz w:val="28"/>
          <w:szCs w:val="28"/>
        </w:rPr>
        <w:t>кспертная группа</w:t>
      </w:r>
      <w:r w:rsidR="007720CB" w:rsidRPr="00952D3A">
        <w:rPr>
          <w:sz w:val="28"/>
          <w:szCs w:val="28"/>
        </w:rPr>
        <w:t xml:space="preserve"> </w:t>
      </w:r>
      <w:r w:rsidR="00037FDF">
        <w:rPr>
          <w:sz w:val="28"/>
          <w:szCs w:val="28"/>
        </w:rPr>
        <w:t>для установления соответствия уровня его квалификации требованиям, предъявляемым к квалификационным категориям (первой или высшей)</w:t>
      </w:r>
      <w:r w:rsidR="00974D43" w:rsidRPr="00974D43">
        <w:t xml:space="preserve"> </w:t>
      </w:r>
      <w:r w:rsidR="00974D43" w:rsidRPr="00974D43">
        <w:rPr>
          <w:sz w:val="28"/>
          <w:szCs w:val="28"/>
        </w:rPr>
        <w:t>назначается,</w:t>
      </w:r>
      <w:r w:rsidR="009A5515">
        <w:rPr>
          <w:sz w:val="28"/>
          <w:szCs w:val="28"/>
        </w:rPr>
        <w:t xml:space="preserve"> </w:t>
      </w:r>
      <w:r w:rsidR="00151F04">
        <w:rPr>
          <w:sz w:val="28"/>
          <w:szCs w:val="28"/>
        </w:rPr>
        <w:t>за исключением следующих случаев:</w:t>
      </w:r>
    </w:p>
    <w:p w:rsidR="00974D43" w:rsidRPr="00974D43" w:rsidRDefault="00974D43" w:rsidP="00974D43">
      <w:pPr>
        <w:jc w:val="both"/>
        <w:rPr>
          <w:sz w:val="28"/>
          <w:szCs w:val="28"/>
        </w:rPr>
      </w:pPr>
      <w:r w:rsidRPr="00974D43">
        <w:rPr>
          <w:sz w:val="28"/>
          <w:szCs w:val="28"/>
        </w:rPr>
        <w:t>-  при наличии у педагогического работника, подтверждающего квалификационную категорию (первую или высшую)</w:t>
      </w:r>
      <w:r w:rsidR="006F252B">
        <w:rPr>
          <w:sz w:val="28"/>
          <w:szCs w:val="28"/>
        </w:rPr>
        <w:t xml:space="preserve"> </w:t>
      </w:r>
      <w:r w:rsidRPr="00974D43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974D43">
        <w:rPr>
          <w:sz w:val="28"/>
          <w:szCs w:val="28"/>
        </w:rPr>
        <w:t xml:space="preserve"> наград по профилю педагогической  деятельности  (включая почетные звания «Заслуженный учитель» и </w:t>
      </w:r>
      <w:proofErr w:type="spellStart"/>
      <w:r w:rsidRPr="00974D43">
        <w:rPr>
          <w:sz w:val="28"/>
          <w:szCs w:val="28"/>
        </w:rPr>
        <w:t>др</w:t>
      </w:r>
      <w:proofErr w:type="gramStart"/>
      <w:r w:rsidRPr="00974D43">
        <w:rPr>
          <w:sz w:val="28"/>
          <w:szCs w:val="28"/>
        </w:rPr>
        <w:t>.п</w:t>
      </w:r>
      <w:proofErr w:type="gramEnd"/>
      <w:r w:rsidRPr="00974D43">
        <w:rPr>
          <w:sz w:val="28"/>
          <w:szCs w:val="28"/>
        </w:rPr>
        <w:t>очетные</w:t>
      </w:r>
      <w:proofErr w:type="spellEnd"/>
      <w:r w:rsidRPr="00974D43">
        <w:rPr>
          <w:sz w:val="28"/>
          <w:szCs w:val="28"/>
        </w:rPr>
        <w:t xml:space="preserve"> звания, Почетные грамоты, нагрудные знаки), независимо от года награждения;</w:t>
      </w:r>
    </w:p>
    <w:p w:rsidR="00974D43" w:rsidRDefault="00974D43" w:rsidP="00974D43">
      <w:pPr>
        <w:jc w:val="both"/>
        <w:rPr>
          <w:sz w:val="28"/>
          <w:szCs w:val="28"/>
        </w:rPr>
      </w:pPr>
      <w:proofErr w:type="gramStart"/>
      <w:r w:rsidRPr="00974D43">
        <w:rPr>
          <w:sz w:val="28"/>
          <w:szCs w:val="28"/>
        </w:rPr>
        <w:t>- при подготовке педагогическим работником  учащихся-призеров (1-3 места) муниципальных, республиканских, всероссийских, международных предметных олимпиад, конкурсов, соревнований, смотров, проходивших в пятилетний период, предшествующий аттестации работника</w:t>
      </w:r>
      <w:r>
        <w:rPr>
          <w:sz w:val="28"/>
          <w:szCs w:val="28"/>
        </w:rPr>
        <w:t>;</w:t>
      </w:r>
      <w:proofErr w:type="gramEnd"/>
    </w:p>
    <w:p w:rsidR="00974D43" w:rsidRPr="00974D43" w:rsidRDefault="006F252B" w:rsidP="00974D4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74D43">
        <w:rPr>
          <w:sz w:val="28"/>
          <w:szCs w:val="28"/>
        </w:rPr>
        <w:t xml:space="preserve"> </w:t>
      </w:r>
      <w:r w:rsidR="00974D43" w:rsidRPr="00974D43">
        <w:rPr>
          <w:sz w:val="28"/>
          <w:szCs w:val="28"/>
        </w:rPr>
        <w:t>победители, призеры, дипломанты, лауреаты международных, федеральных, республиканских, муниципальных  профессиональных конкурсов по профилю деятельности аттестуемого работника («Учитель года», «Воспитатель года» и др.)</w:t>
      </w:r>
      <w:r w:rsidR="009271BE" w:rsidRPr="009271BE">
        <w:t xml:space="preserve"> </w:t>
      </w:r>
      <w:r w:rsidR="009271BE" w:rsidRPr="009271BE">
        <w:rPr>
          <w:sz w:val="28"/>
          <w:szCs w:val="28"/>
        </w:rPr>
        <w:t>в пятилетний период, предшествующий аттестации работника</w:t>
      </w:r>
      <w:r w:rsidR="00974D43" w:rsidRPr="00974D43">
        <w:rPr>
          <w:sz w:val="28"/>
          <w:szCs w:val="28"/>
        </w:rPr>
        <w:t>;</w:t>
      </w:r>
      <w:proofErr w:type="gramEnd"/>
    </w:p>
    <w:p w:rsidR="00974D43" w:rsidRPr="00974D43" w:rsidRDefault="006F252B" w:rsidP="00974D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у</w:t>
      </w:r>
      <w:r w:rsidR="00974D43" w:rsidRPr="00974D43">
        <w:rPr>
          <w:sz w:val="28"/>
          <w:szCs w:val="28"/>
        </w:rPr>
        <w:t>прощенные формы профессиональной экспертизы (без привлечения независимых аттестационных экспертов) применяются при аттестации педагогических работников, повторно  или впервые заявляющихся на  высшую либо первую квалификационную категорию:</w:t>
      </w:r>
    </w:p>
    <w:p w:rsidR="00974D43" w:rsidRPr="00974D43" w:rsidRDefault="00974D43" w:rsidP="00974D43">
      <w:pPr>
        <w:jc w:val="both"/>
        <w:rPr>
          <w:sz w:val="28"/>
          <w:szCs w:val="28"/>
        </w:rPr>
      </w:pPr>
      <w:proofErr w:type="gramStart"/>
      <w:r w:rsidRPr="00974D43">
        <w:rPr>
          <w:sz w:val="28"/>
          <w:szCs w:val="28"/>
        </w:rPr>
        <w:t>- при наличии у них статуса (диплома) победителя конкурса в рамках реализации приоритетного национального проекта «Образование», гранта «Наш лучший учитель», независимо от года проведения конкурса (гранта), либо подготовивших в течение последних пяти лет двух и более призеров (1-3 места) муниципальных, республиканских, федеральных, международных (очных) предметных олимпиад (для учащихся общеобразовательных организаций) или конкурсов профессионального мастерства (для обучающихся в учреждениях профессионального образования.);</w:t>
      </w:r>
      <w:proofErr w:type="gramEnd"/>
      <w:r w:rsidRPr="00974D43">
        <w:rPr>
          <w:sz w:val="28"/>
          <w:szCs w:val="28"/>
        </w:rPr>
        <w:t xml:space="preserve"> либо подготовивших в течение последних пяти лет двух и более призеров (1-3 место) муниципальных, республиканских, федеральных, международных (очных) конкурсов (для воспитанников и педагогов  дошкольных образовательных организаций, организаций </w:t>
      </w:r>
      <w:proofErr w:type="gramStart"/>
      <w:r w:rsidRPr="00974D43">
        <w:rPr>
          <w:sz w:val="28"/>
          <w:szCs w:val="28"/>
        </w:rPr>
        <w:t>дополнительного</w:t>
      </w:r>
      <w:proofErr w:type="gramEnd"/>
      <w:r w:rsidRPr="00974D43">
        <w:rPr>
          <w:sz w:val="28"/>
          <w:szCs w:val="28"/>
        </w:rPr>
        <w:t xml:space="preserve"> образования);</w:t>
      </w:r>
    </w:p>
    <w:p w:rsidR="00AA66B4" w:rsidRPr="00952D3A" w:rsidRDefault="00974D43" w:rsidP="00974D43">
      <w:pPr>
        <w:jc w:val="both"/>
        <w:rPr>
          <w:sz w:val="28"/>
          <w:szCs w:val="28"/>
        </w:rPr>
      </w:pPr>
      <w:r w:rsidRPr="00974D43">
        <w:rPr>
          <w:sz w:val="28"/>
          <w:szCs w:val="28"/>
        </w:rPr>
        <w:t>- участвовавших в проведении профессиональной экспертизы в составе экспертных групп при аттестационной комиссии Министерства образования и науки Республики Татарстан не менее трех лет в период, предшествующий аттестации.</w:t>
      </w:r>
    </w:p>
    <w:p w:rsidR="0074012B" w:rsidRDefault="0074012B" w:rsidP="00345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F2785">
        <w:rPr>
          <w:sz w:val="28"/>
          <w:szCs w:val="28"/>
        </w:rPr>
        <w:t xml:space="preserve"> 2.5. </w:t>
      </w:r>
      <w:r>
        <w:rPr>
          <w:sz w:val="28"/>
          <w:szCs w:val="28"/>
        </w:rPr>
        <w:t>По решению аттестационной комиссии, экспертные группы могут быть направлены</w:t>
      </w:r>
      <w:r w:rsidR="005F2785">
        <w:rPr>
          <w:sz w:val="28"/>
          <w:szCs w:val="28"/>
        </w:rPr>
        <w:t xml:space="preserve"> (в случаях, указанных в абзацах втором, третьем</w:t>
      </w:r>
      <w:r w:rsidR="00A44BD1">
        <w:rPr>
          <w:sz w:val="28"/>
          <w:szCs w:val="28"/>
        </w:rPr>
        <w:t xml:space="preserve">, четвертом </w:t>
      </w:r>
      <w:r w:rsidR="005F2785">
        <w:rPr>
          <w:sz w:val="28"/>
          <w:szCs w:val="28"/>
        </w:rPr>
        <w:t>пункта 2.4 настоящего Положения)</w:t>
      </w:r>
      <w:r>
        <w:rPr>
          <w:sz w:val="28"/>
          <w:szCs w:val="28"/>
        </w:rPr>
        <w:t>:</w:t>
      </w:r>
    </w:p>
    <w:p w:rsidR="009A5515" w:rsidRPr="00952D3A" w:rsidRDefault="009A5515" w:rsidP="009A5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012B">
        <w:rPr>
          <w:sz w:val="28"/>
          <w:szCs w:val="28"/>
        </w:rPr>
        <w:t>- к</w:t>
      </w:r>
      <w:r w:rsidRPr="00952D3A">
        <w:rPr>
          <w:sz w:val="28"/>
          <w:szCs w:val="28"/>
        </w:rPr>
        <w:t xml:space="preserve"> руководителям</w:t>
      </w:r>
      <w:r>
        <w:rPr>
          <w:sz w:val="28"/>
          <w:szCs w:val="28"/>
        </w:rPr>
        <w:t xml:space="preserve"> </w:t>
      </w:r>
      <w:r w:rsidRPr="00952D3A">
        <w:rPr>
          <w:sz w:val="28"/>
          <w:szCs w:val="28"/>
        </w:rPr>
        <w:t xml:space="preserve">образовательных </w:t>
      </w:r>
      <w:r w:rsidR="006F252B">
        <w:rPr>
          <w:sz w:val="28"/>
          <w:szCs w:val="28"/>
        </w:rPr>
        <w:t>организаций</w:t>
      </w:r>
      <w:r w:rsidRPr="00952D3A">
        <w:rPr>
          <w:sz w:val="28"/>
          <w:szCs w:val="28"/>
        </w:rPr>
        <w:t xml:space="preserve"> (дирек</w:t>
      </w:r>
      <w:r>
        <w:rPr>
          <w:sz w:val="28"/>
          <w:szCs w:val="28"/>
        </w:rPr>
        <w:t xml:space="preserve">торам, начальникам, заведующим) </w:t>
      </w:r>
      <w:r w:rsidRPr="00952D3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их </w:t>
      </w:r>
      <w:r w:rsidRPr="00952D3A">
        <w:rPr>
          <w:sz w:val="28"/>
          <w:szCs w:val="28"/>
        </w:rPr>
        <w:t>заместителям</w:t>
      </w:r>
      <w:r>
        <w:rPr>
          <w:sz w:val="28"/>
          <w:szCs w:val="28"/>
        </w:rPr>
        <w:t xml:space="preserve">, </w:t>
      </w:r>
      <w:r w:rsidRPr="00952D3A">
        <w:rPr>
          <w:sz w:val="28"/>
          <w:szCs w:val="28"/>
        </w:rPr>
        <w:t>аттестуемым по педагогическим должностям</w:t>
      </w:r>
      <w:r w:rsidR="0074012B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74012B" w:rsidRDefault="0074012B" w:rsidP="00345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- к педагогическ</w:t>
      </w:r>
      <w:r w:rsidR="00A44BD1">
        <w:rPr>
          <w:sz w:val="28"/>
          <w:szCs w:val="28"/>
        </w:rPr>
        <w:t>им работникам, не обеспечивающим</w:t>
      </w:r>
      <w:r>
        <w:rPr>
          <w:sz w:val="28"/>
          <w:szCs w:val="28"/>
        </w:rPr>
        <w:t xml:space="preserve"> профессиональных результатов, соответствующих требованиям заявленной квалификационной категории (первой или высшей), или не имеющим образовательного ценза, предусмотренного требованиями квалификационной характеристики по должности, либо</w:t>
      </w:r>
      <w:r w:rsidR="00151F04" w:rsidRPr="00952D3A">
        <w:rPr>
          <w:sz w:val="28"/>
          <w:szCs w:val="28"/>
        </w:rPr>
        <w:t xml:space="preserve"> </w:t>
      </w:r>
      <w:r>
        <w:rPr>
          <w:sz w:val="28"/>
          <w:szCs w:val="28"/>
        </w:rPr>
        <w:t>при снижении профессионального рейтинга педагогического работника, подтвержденного письменными обращениями (жалобами) обучающихся, их родителей</w:t>
      </w:r>
      <w:r w:rsidR="005F2785">
        <w:rPr>
          <w:sz w:val="28"/>
          <w:szCs w:val="28"/>
        </w:rPr>
        <w:t xml:space="preserve"> (законных пр</w:t>
      </w:r>
      <w:r w:rsidR="000E26C6">
        <w:rPr>
          <w:sz w:val="28"/>
          <w:szCs w:val="28"/>
        </w:rPr>
        <w:t>е</w:t>
      </w:r>
      <w:r w:rsidR="005F2785">
        <w:rPr>
          <w:sz w:val="28"/>
          <w:szCs w:val="28"/>
        </w:rPr>
        <w:t>дставителей)</w:t>
      </w:r>
      <w:r w:rsidR="00EB7356">
        <w:rPr>
          <w:sz w:val="28"/>
          <w:szCs w:val="28"/>
        </w:rPr>
        <w:t>;</w:t>
      </w:r>
      <w:proofErr w:type="gramEnd"/>
    </w:p>
    <w:p w:rsidR="00EB7356" w:rsidRDefault="00EB7356" w:rsidP="00345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 переходе (переводе) педагогического работника в год аттестации из одно</w:t>
      </w:r>
      <w:r w:rsidR="006F252B">
        <w:rPr>
          <w:sz w:val="28"/>
          <w:szCs w:val="28"/>
        </w:rPr>
        <w:t>й</w:t>
      </w:r>
      <w:r>
        <w:rPr>
          <w:sz w:val="28"/>
          <w:szCs w:val="28"/>
        </w:rPr>
        <w:t xml:space="preserve"> образовательно</w:t>
      </w:r>
      <w:r w:rsidR="006F252B">
        <w:rPr>
          <w:sz w:val="28"/>
          <w:szCs w:val="28"/>
        </w:rPr>
        <w:t>й организации</w:t>
      </w:r>
      <w:r>
        <w:rPr>
          <w:sz w:val="28"/>
          <w:szCs w:val="28"/>
        </w:rPr>
        <w:t xml:space="preserve"> в друг</w:t>
      </w:r>
      <w:r w:rsidR="006F252B">
        <w:rPr>
          <w:sz w:val="28"/>
          <w:szCs w:val="28"/>
        </w:rPr>
        <w:t>ую</w:t>
      </w:r>
      <w:r>
        <w:rPr>
          <w:sz w:val="28"/>
          <w:szCs w:val="28"/>
        </w:rPr>
        <w:t xml:space="preserve"> образовательн</w:t>
      </w:r>
      <w:r w:rsidR="006F252B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6F252B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или с одной педагогической должности на другую педагогическую должность, либо при переходе </w:t>
      </w:r>
      <w:r w:rsidR="009F26B4">
        <w:rPr>
          <w:sz w:val="28"/>
          <w:szCs w:val="28"/>
        </w:rPr>
        <w:t xml:space="preserve">(переводе) </w:t>
      </w:r>
      <w:r>
        <w:rPr>
          <w:sz w:val="28"/>
          <w:szCs w:val="28"/>
        </w:rPr>
        <w:t>учителя (преподавателя) на преподавание другого учебного предмета (специальности, образовательной области).</w:t>
      </w:r>
    </w:p>
    <w:p w:rsidR="00EB7356" w:rsidRDefault="00EB7356" w:rsidP="00345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Аттестуемый педагогический работник имеет право обратиться в аттестационную комиссию с письменным заявлением о направлении к нему </w:t>
      </w:r>
      <w:r w:rsidR="00A44BD1">
        <w:rPr>
          <w:sz w:val="28"/>
          <w:szCs w:val="28"/>
        </w:rPr>
        <w:t xml:space="preserve">экспертной группы, состоящей только из </w:t>
      </w:r>
      <w:r>
        <w:rPr>
          <w:sz w:val="28"/>
          <w:szCs w:val="28"/>
        </w:rPr>
        <w:t>внешних экспертов</w:t>
      </w:r>
      <w:r w:rsidR="00A44BD1">
        <w:rPr>
          <w:sz w:val="28"/>
          <w:szCs w:val="28"/>
        </w:rPr>
        <w:t>,</w:t>
      </w:r>
      <w:r>
        <w:rPr>
          <w:sz w:val="28"/>
          <w:szCs w:val="28"/>
        </w:rPr>
        <w:t xml:space="preserve"> при возникновении у </w:t>
      </w:r>
      <w:r w:rsidR="00A44BD1">
        <w:rPr>
          <w:sz w:val="28"/>
          <w:szCs w:val="28"/>
        </w:rPr>
        <w:t xml:space="preserve">работника </w:t>
      </w:r>
      <w:r>
        <w:rPr>
          <w:sz w:val="28"/>
          <w:szCs w:val="28"/>
        </w:rPr>
        <w:t>конфликта интересов с администрацией образовательно</w:t>
      </w:r>
      <w:r w:rsidR="006F252B">
        <w:rPr>
          <w:sz w:val="28"/>
          <w:szCs w:val="28"/>
        </w:rPr>
        <w:t>й организации</w:t>
      </w:r>
      <w:r>
        <w:rPr>
          <w:sz w:val="28"/>
          <w:szCs w:val="28"/>
        </w:rPr>
        <w:t xml:space="preserve"> по месту работы.</w:t>
      </w:r>
    </w:p>
    <w:p w:rsidR="00606B4B" w:rsidRDefault="0074012B" w:rsidP="00345F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2785">
        <w:rPr>
          <w:sz w:val="28"/>
          <w:szCs w:val="28"/>
        </w:rPr>
        <w:t xml:space="preserve"> </w:t>
      </w:r>
      <w:r w:rsidR="00606B4B">
        <w:rPr>
          <w:sz w:val="28"/>
          <w:szCs w:val="28"/>
        </w:rPr>
        <w:t xml:space="preserve">2.6. </w:t>
      </w:r>
      <w:r w:rsidR="00123A7D">
        <w:rPr>
          <w:sz w:val="28"/>
          <w:szCs w:val="28"/>
        </w:rPr>
        <w:t>Э</w:t>
      </w:r>
      <w:r w:rsidR="00606B4B">
        <w:rPr>
          <w:sz w:val="28"/>
          <w:szCs w:val="28"/>
        </w:rPr>
        <w:t>ксперт</w:t>
      </w:r>
      <w:r w:rsidR="00123A7D">
        <w:rPr>
          <w:sz w:val="28"/>
          <w:szCs w:val="28"/>
        </w:rPr>
        <w:t>ная группа</w:t>
      </w:r>
      <w:r w:rsidR="00606B4B">
        <w:rPr>
          <w:sz w:val="28"/>
          <w:szCs w:val="28"/>
        </w:rPr>
        <w:t xml:space="preserve"> осуществляет</w:t>
      </w:r>
      <w:r w:rsidR="00123A7D">
        <w:rPr>
          <w:sz w:val="28"/>
          <w:szCs w:val="28"/>
        </w:rPr>
        <w:t xml:space="preserve"> свою деятельность </w:t>
      </w:r>
      <w:r w:rsidR="00606B4B">
        <w:rPr>
          <w:sz w:val="28"/>
          <w:szCs w:val="28"/>
        </w:rPr>
        <w:t>в течение месяца со дня издания приказа Министерства образования и науки Республики Татарстан о проведении аттестации педагоги</w:t>
      </w:r>
      <w:r w:rsidR="00266792">
        <w:rPr>
          <w:sz w:val="28"/>
          <w:szCs w:val="28"/>
        </w:rPr>
        <w:t>ческого работника</w:t>
      </w:r>
      <w:r w:rsidR="009A5515">
        <w:rPr>
          <w:sz w:val="28"/>
          <w:szCs w:val="28"/>
        </w:rPr>
        <w:t>.</w:t>
      </w:r>
    </w:p>
    <w:p w:rsidR="00606B4B" w:rsidRDefault="00334FC7" w:rsidP="00606B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F252B">
        <w:rPr>
          <w:sz w:val="28"/>
          <w:szCs w:val="28"/>
        </w:rPr>
        <w:t>П</w:t>
      </w:r>
      <w:r w:rsidR="006F252B" w:rsidRPr="006F252B">
        <w:rPr>
          <w:sz w:val="28"/>
          <w:szCs w:val="28"/>
        </w:rPr>
        <w:t>ри необходимости</w:t>
      </w:r>
      <w:r w:rsidR="006F252B">
        <w:rPr>
          <w:sz w:val="28"/>
          <w:szCs w:val="28"/>
        </w:rPr>
        <w:t xml:space="preserve"> </w:t>
      </w:r>
      <w:r w:rsidR="00606B4B">
        <w:rPr>
          <w:sz w:val="28"/>
          <w:szCs w:val="28"/>
        </w:rPr>
        <w:t xml:space="preserve">посещения экспертами учебных </w:t>
      </w:r>
      <w:r w:rsidR="002D1A69">
        <w:rPr>
          <w:sz w:val="28"/>
          <w:szCs w:val="28"/>
        </w:rPr>
        <w:t>занятий</w:t>
      </w:r>
      <w:r w:rsidR="006F252B">
        <w:rPr>
          <w:sz w:val="28"/>
          <w:szCs w:val="28"/>
        </w:rPr>
        <w:t xml:space="preserve"> график посещения </w:t>
      </w:r>
      <w:r w:rsidR="00606B4B">
        <w:rPr>
          <w:sz w:val="28"/>
          <w:szCs w:val="28"/>
        </w:rPr>
        <w:t>согласуется с аттестуемым работником не позднее</w:t>
      </w:r>
      <w:r w:rsidR="006F252B">
        <w:rPr>
          <w:sz w:val="28"/>
          <w:szCs w:val="28"/>
        </w:rPr>
        <w:t>,</w:t>
      </w:r>
      <w:r w:rsidR="00606B4B">
        <w:rPr>
          <w:sz w:val="28"/>
          <w:szCs w:val="28"/>
        </w:rPr>
        <w:t xml:space="preserve"> чем за </w:t>
      </w:r>
      <w:r w:rsidR="005F2785">
        <w:rPr>
          <w:sz w:val="28"/>
          <w:szCs w:val="28"/>
        </w:rPr>
        <w:t xml:space="preserve">один </w:t>
      </w:r>
      <w:r w:rsidR="00606B4B">
        <w:rPr>
          <w:sz w:val="28"/>
          <w:szCs w:val="28"/>
        </w:rPr>
        <w:t>день до планируемой даты посещения занятий.</w:t>
      </w:r>
    </w:p>
    <w:p w:rsidR="0052235E" w:rsidRDefault="00254BC3" w:rsidP="00254BC3">
      <w:pPr>
        <w:jc w:val="both"/>
        <w:rPr>
          <w:sz w:val="28"/>
          <w:szCs w:val="28"/>
        </w:rPr>
      </w:pPr>
      <w:r w:rsidRPr="00952D3A">
        <w:rPr>
          <w:sz w:val="28"/>
          <w:szCs w:val="28"/>
        </w:rPr>
        <w:t xml:space="preserve">      </w:t>
      </w:r>
      <w:r w:rsidR="002D1A69">
        <w:rPr>
          <w:sz w:val="28"/>
          <w:szCs w:val="28"/>
        </w:rPr>
        <w:t xml:space="preserve"> </w:t>
      </w:r>
      <w:r w:rsidR="007E6DC9">
        <w:rPr>
          <w:sz w:val="28"/>
          <w:szCs w:val="28"/>
        </w:rPr>
        <w:t>2.</w:t>
      </w:r>
      <w:r w:rsidR="00606B4B">
        <w:rPr>
          <w:sz w:val="28"/>
          <w:szCs w:val="28"/>
        </w:rPr>
        <w:t xml:space="preserve">7. </w:t>
      </w:r>
      <w:r w:rsidR="00564A8C">
        <w:rPr>
          <w:sz w:val="28"/>
          <w:szCs w:val="28"/>
        </w:rPr>
        <w:t xml:space="preserve"> Экспертная группа</w:t>
      </w:r>
      <w:r w:rsidR="007E6DC9">
        <w:rPr>
          <w:sz w:val="28"/>
          <w:szCs w:val="28"/>
        </w:rPr>
        <w:t xml:space="preserve"> имеет право</w:t>
      </w:r>
      <w:r w:rsidR="0052235E">
        <w:rPr>
          <w:sz w:val="28"/>
          <w:szCs w:val="28"/>
        </w:rPr>
        <w:t>:</w:t>
      </w:r>
    </w:p>
    <w:p w:rsidR="00564A8C" w:rsidRDefault="00606B4B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2235E">
        <w:rPr>
          <w:sz w:val="28"/>
          <w:szCs w:val="28"/>
        </w:rPr>
        <w:t xml:space="preserve">- </w:t>
      </w:r>
      <w:r w:rsidR="002D1A69">
        <w:rPr>
          <w:sz w:val="28"/>
          <w:szCs w:val="28"/>
        </w:rPr>
        <w:t xml:space="preserve">запросить </w:t>
      </w:r>
      <w:r w:rsidR="00564A8C">
        <w:rPr>
          <w:sz w:val="28"/>
          <w:szCs w:val="28"/>
        </w:rPr>
        <w:t xml:space="preserve">от аттестуемого педагогического работника расписание </w:t>
      </w:r>
      <w:r w:rsidR="0052235E">
        <w:rPr>
          <w:sz w:val="28"/>
          <w:szCs w:val="28"/>
        </w:rPr>
        <w:t xml:space="preserve">занятий, </w:t>
      </w:r>
      <w:r w:rsidR="00564A8C">
        <w:rPr>
          <w:sz w:val="28"/>
          <w:szCs w:val="28"/>
        </w:rPr>
        <w:t xml:space="preserve">лист </w:t>
      </w:r>
      <w:r w:rsidR="0052235E">
        <w:rPr>
          <w:sz w:val="28"/>
          <w:szCs w:val="28"/>
        </w:rPr>
        <w:t>самооценки по установленной форме, заполненную и заверенную руководителем образовательно</w:t>
      </w:r>
      <w:r w:rsidR="00AD584E">
        <w:rPr>
          <w:sz w:val="28"/>
          <w:szCs w:val="28"/>
        </w:rPr>
        <w:t>й организации</w:t>
      </w:r>
      <w:r w:rsidR="0052235E">
        <w:rPr>
          <w:sz w:val="28"/>
          <w:szCs w:val="28"/>
        </w:rPr>
        <w:t xml:space="preserve"> карту результативности профессиональной деятельности, учебные</w:t>
      </w:r>
      <w:r w:rsidR="00A400FA">
        <w:rPr>
          <w:sz w:val="28"/>
          <w:szCs w:val="28"/>
        </w:rPr>
        <w:t xml:space="preserve">, методические </w:t>
      </w:r>
      <w:r w:rsidR="0052235E">
        <w:rPr>
          <w:sz w:val="28"/>
          <w:szCs w:val="28"/>
        </w:rPr>
        <w:t>документы</w:t>
      </w:r>
      <w:r w:rsidR="00A400FA">
        <w:rPr>
          <w:sz w:val="28"/>
          <w:szCs w:val="28"/>
        </w:rPr>
        <w:t xml:space="preserve"> и материалы,</w:t>
      </w:r>
      <w:r w:rsidR="002D1A69">
        <w:rPr>
          <w:sz w:val="28"/>
          <w:szCs w:val="28"/>
        </w:rPr>
        <w:t xml:space="preserve"> </w:t>
      </w:r>
      <w:r w:rsidR="0052235E">
        <w:rPr>
          <w:sz w:val="28"/>
          <w:szCs w:val="28"/>
        </w:rPr>
        <w:t>подтверждающие профессиональные результаты атте</w:t>
      </w:r>
      <w:r w:rsidR="00B44A66">
        <w:rPr>
          <w:sz w:val="28"/>
          <w:szCs w:val="28"/>
        </w:rPr>
        <w:t xml:space="preserve">стуемого педагогического </w:t>
      </w:r>
      <w:r w:rsidR="005F2785">
        <w:rPr>
          <w:sz w:val="28"/>
          <w:szCs w:val="28"/>
        </w:rPr>
        <w:t>работника</w:t>
      </w:r>
      <w:r w:rsidR="006F252B">
        <w:rPr>
          <w:sz w:val="28"/>
          <w:szCs w:val="28"/>
        </w:rPr>
        <w:t>,</w:t>
      </w:r>
      <w:r w:rsidR="005F2785">
        <w:rPr>
          <w:sz w:val="28"/>
          <w:szCs w:val="28"/>
        </w:rPr>
        <w:t xml:space="preserve"> </w:t>
      </w:r>
      <w:r w:rsidR="00B44A66">
        <w:rPr>
          <w:sz w:val="28"/>
          <w:szCs w:val="28"/>
        </w:rPr>
        <w:t>проверить их достоверность;</w:t>
      </w:r>
      <w:proofErr w:type="gramEnd"/>
    </w:p>
    <w:p w:rsidR="00606B4B" w:rsidRDefault="0052235E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посетить </w:t>
      </w:r>
      <w:r w:rsidR="00606B4B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занятия аттестуемого работника</w:t>
      </w:r>
      <w:r w:rsidR="00606B4B">
        <w:rPr>
          <w:sz w:val="28"/>
          <w:szCs w:val="28"/>
        </w:rPr>
        <w:t xml:space="preserve"> (не более двух занятий)</w:t>
      </w:r>
      <w:r w:rsidR="00B44A66">
        <w:rPr>
          <w:sz w:val="28"/>
          <w:szCs w:val="28"/>
        </w:rPr>
        <w:t>;</w:t>
      </w:r>
      <w:r w:rsidR="00685EE4">
        <w:rPr>
          <w:sz w:val="28"/>
          <w:szCs w:val="28"/>
        </w:rPr>
        <w:t xml:space="preserve"> </w:t>
      </w:r>
    </w:p>
    <w:p w:rsidR="00A400FA" w:rsidRDefault="00606B4B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5EE4">
        <w:rPr>
          <w:sz w:val="28"/>
          <w:szCs w:val="28"/>
        </w:rPr>
        <w:t xml:space="preserve"> </w:t>
      </w:r>
      <w:r w:rsidR="00A400FA">
        <w:rPr>
          <w:sz w:val="28"/>
          <w:szCs w:val="28"/>
        </w:rPr>
        <w:t xml:space="preserve"> - </w:t>
      </w:r>
      <w:r w:rsidR="00685EE4">
        <w:rPr>
          <w:sz w:val="28"/>
          <w:szCs w:val="28"/>
        </w:rPr>
        <w:t>пров</w:t>
      </w:r>
      <w:r w:rsidR="00A400FA">
        <w:rPr>
          <w:sz w:val="28"/>
          <w:szCs w:val="28"/>
        </w:rPr>
        <w:t>одить собеседования</w:t>
      </w:r>
      <w:r w:rsidR="00685EE4">
        <w:rPr>
          <w:sz w:val="28"/>
          <w:szCs w:val="28"/>
        </w:rPr>
        <w:t xml:space="preserve"> с участниками </w:t>
      </w:r>
      <w:r w:rsidR="00A400FA">
        <w:rPr>
          <w:sz w:val="28"/>
          <w:szCs w:val="28"/>
        </w:rPr>
        <w:t>учебно-воспитательного</w:t>
      </w:r>
      <w:r w:rsidR="0048458B">
        <w:rPr>
          <w:sz w:val="28"/>
          <w:szCs w:val="28"/>
        </w:rPr>
        <w:t xml:space="preserve"> процесса, администрацией </w:t>
      </w:r>
      <w:r w:rsidR="000E26C6">
        <w:rPr>
          <w:sz w:val="28"/>
          <w:szCs w:val="28"/>
        </w:rPr>
        <w:t>образовательно</w:t>
      </w:r>
      <w:r w:rsidR="006F252B">
        <w:rPr>
          <w:sz w:val="28"/>
          <w:szCs w:val="28"/>
        </w:rPr>
        <w:t xml:space="preserve">й организации </w:t>
      </w:r>
      <w:r w:rsidR="0048458B">
        <w:rPr>
          <w:sz w:val="28"/>
          <w:szCs w:val="28"/>
        </w:rPr>
        <w:t>по направлениям экспертной оценки</w:t>
      </w:r>
      <w:r w:rsidR="00A400FA">
        <w:rPr>
          <w:sz w:val="28"/>
          <w:szCs w:val="28"/>
        </w:rPr>
        <w:t>;</w:t>
      </w:r>
    </w:p>
    <w:p w:rsidR="00A400FA" w:rsidRDefault="00A400FA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8C6D97"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и/или </w:t>
      </w:r>
      <w:r w:rsidR="008C6D97">
        <w:rPr>
          <w:sz w:val="28"/>
          <w:szCs w:val="28"/>
        </w:rPr>
        <w:t xml:space="preserve">присутствовать </w:t>
      </w:r>
      <w:r w:rsidR="009B2FBD">
        <w:rPr>
          <w:sz w:val="28"/>
          <w:szCs w:val="28"/>
        </w:rPr>
        <w:t xml:space="preserve">при проверке </w:t>
      </w:r>
      <w:r>
        <w:rPr>
          <w:sz w:val="28"/>
          <w:szCs w:val="28"/>
        </w:rPr>
        <w:t>учебных знаний, умений и навыков обучающихся (воспитанников), анализировать результаты  самостоятельных, контрольных работ, срезов знаний, тестирования обучающихся (воспитанников), классные журналы, журналы посещаемости</w:t>
      </w:r>
      <w:r w:rsidR="005F2785">
        <w:rPr>
          <w:sz w:val="28"/>
          <w:szCs w:val="28"/>
        </w:rPr>
        <w:t xml:space="preserve"> учащихся (воспитанников), рабочие и контрольные тетради обучающихся, характеристики, составленные на них аттестуемым педагогическим работником.</w:t>
      </w:r>
    </w:p>
    <w:p w:rsidR="00A400FA" w:rsidRDefault="00A400FA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458B">
        <w:rPr>
          <w:sz w:val="28"/>
          <w:szCs w:val="28"/>
        </w:rPr>
        <w:t>Отказ аттестуемого работника  выполнить требования экспертной группы  по предоставлению вышеук</w:t>
      </w:r>
      <w:r w:rsidR="002D1A69">
        <w:rPr>
          <w:sz w:val="28"/>
          <w:szCs w:val="28"/>
        </w:rPr>
        <w:t>азанных документов и материалов и/или</w:t>
      </w:r>
      <w:r w:rsidR="0048458B">
        <w:rPr>
          <w:sz w:val="28"/>
          <w:szCs w:val="28"/>
        </w:rPr>
        <w:t xml:space="preserve"> обеспечению присутствия экспертов на учебны</w:t>
      </w:r>
      <w:r w:rsidR="0058185E">
        <w:rPr>
          <w:sz w:val="28"/>
          <w:szCs w:val="28"/>
        </w:rPr>
        <w:t xml:space="preserve">х занятиях является основанием </w:t>
      </w:r>
      <w:r w:rsidR="0048458B">
        <w:rPr>
          <w:sz w:val="28"/>
          <w:szCs w:val="28"/>
        </w:rPr>
        <w:t>для прекращения  экспертизы.</w:t>
      </w:r>
    </w:p>
    <w:p w:rsidR="0052235E" w:rsidRDefault="00606B4B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458B">
        <w:rPr>
          <w:sz w:val="28"/>
          <w:szCs w:val="28"/>
        </w:rPr>
        <w:t xml:space="preserve">Акт о прекращении экспертизы с указанием причин, подписанный членами экспертной группы, </w:t>
      </w:r>
      <w:r w:rsidR="0058185E">
        <w:rPr>
          <w:sz w:val="28"/>
          <w:szCs w:val="28"/>
        </w:rPr>
        <w:t xml:space="preserve">направляется </w:t>
      </w:r>
      <w:r w:rsidR="0048458B">
        <w:rPr>
          <w:sz w:val="28"/>
          <w:szCs w:val="28"/>
        </w:rPr>
        <w:t xml:space="preserve">в аттестационную комиссию и является основанием для принятия решения об </w:t>
      </w:r>
      <w:r w:rsidR="0058185E">
        <w:rPr>
          <w:sz w:val="28"/>
          <w:szCs w:val="28"/>
        </w:rPr>
        <w:t xml:space="preserve">отказе </w:t>
      </w:r>
      <w:r w:rsidR="0048458B">
        <w:rPr>
          <w:sz w:val="28"/>
          <w:szCs w:val="28"/>
        </w:rPr>
        <w:t xml:space="preserve">работнику в удовлетворении его аттестационного заявления. </w:t>
      </w:r>
    </w:p>
    <w:p w:rsidR="00B6404C" w:rsidRPr="00ED24CD" w:rsidRDefault="005F2785" w:rsidP="005F2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B0A93">
        <w:rPr>
          <w:sz w:val="28"/>
          <w:szCs w:val="28"/>
        </w:rPr>
        <w:t>2.8</w:t>
      </w:r>
      <w:r w:rsidR="00254BC3" w:rsidRPr="00952D3A">
        <w:rPr>
          <w:sz w:val="28"/>
          <w:szCs w:val="28"/>
        </w:rPr>
        <w:t xml:space="preserve">. </w:t>
      </w:r>
      <w:r w:rsidR="00F75D52">
        <w:rPr>
          <w:sz w:val="28"/>
          <w:szCs w:val="28"/>
        </w:rPr>
        <w:t xml:space="preserve">Члены экспертной  группы осуществляют экспертную оценку на основе </w:t>
      </w:r>
      <w:r w:rsidR="00B6404C" w:rsidRPr="00ED24CD">
        <w:rPr>
          <w:sz w:val="28"/>
          <w:szCs w:val="28"/>
        </w:rPr>
        <w:t xml:space="preserve">методики </w:t>
      </w:r>
      <w:r>
        <w:rPr>
          <w:sz w:val="28"/>
          <w:szCs w:val="28"/>
        </w:rPr>
        <w:t xml:space="preserve">оценки </w:t>
      </w:r>
      <w:r w:rsidR="00B6404C" w:rsidRPr="00ED24CD">
        <w:rPr>
          <w:sz w:val="28"/>
          <w:szCs w:val="28"/>
        </w:rPr>
        <w:t xml:space="preserve">уровня квалификации </w:t>
      </w:r>
      <w:proofErr w:type="gramStart"/>
      <w:r w:rsidR="00B6404C" w:rsidRPr="00ED24CD">
        <w:rPr>
          <w:sz w:val="28"/>
          <w:szCs w:val="28"/>
        </w:rPr>
        <w:t>педагогических</w:t>
      </w:r>
      <w:proofErr w:type="gramEnd"/>
      <w:r w:rsidR="00B6404C" w:rsidRPr="00ED24CD">
        <w:rPr>
          <w:sz w:val="28"/>
          <w:szCs w:val="28"/>
        </w:rPr>
        <w:t xml:space="preserve"> работников</w:t>
      </w:r>
      <w:r w:rsidR="00372F8E">
        <w:rPr>
          <w:sz w:val="28"/>
          <w:szCs w:val="28"/>
        </w:rPr>
        <w:t>, разработанных специалистами Института развития образования Республики Татарстан</w:t>
      </w:r>
      <w:r w:rsidR="00F75D52">
        <w:rPr>
          <w:sz w:val="28"/>
          <w:szCs w:val="28"/>
        </w:rPr>
        <w:t>.</w:t>
      </w:r>
      <w:r w:rsidR="00B6404C" w:rsidRPr="00ED24CD">
        <w:rPr>
          <w:sz w:val="28"/>
          <w:szCs w:val="28"/>
        </w:rPr>
        <w:t xml:space="preserve"> </w:t>
      </w:r>
    </w:p>
    <w:p w:rsidR="00254BC3" w:rsidRPr="00F92967" w:rsidRDefault="00B6404C" w:rsidP="00254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5D52">
        <w:rPr>
          <w:sz w:val="28"/>
          <w:szCs w:val="28"/>
        </w:rPr>
        <w:t xml:space="preserve">  </w:t>
      </w:r>
      <w:r w:rsidR="0058185E">
        <w:rPr>
          <w:sz w:val="28"/>
          <w:szCs w:val="28"/>
        </w:rPr>
        <w:t>По итогам эксп</w:t>
      </w:r>
      <w:r w:rsidR="00320904">
        <w:rPr>
          <w:sz w:val="28"/>
          <w:szCs w:val="28"/>
        </w:rPr>
        <w:t xml:space="preserve">ертизы члены экспертной группы </w:t>
      </w:r>
      <w:r w:rsidR="005F2785">
        <w:rPr>
          <w:sz w:val="28"/>
          <w:szCs w:val="28"/>
        </w:rPr>
        <w:t xml:space="preserve">обязаны подготовить </w:t>
      </w:r>
      <w:r w:rsidR="00320904">
        <w:rPr>
          <w:sz w:val="28"/>
          <w:szCs w:val="28"/>
        </w:rPr>
        <w:t xml:space="preserve">для аттестационной комиссии </w:t>
      </w:r>
      <w:r w:rsidR="00254BC3" w:rsidRPr="00952D3A">
        <w:rPr>
          <w:sz w:val="28"/>
          <w:szCs w:val="28"/>
        </w:rPr>
        <w:t xml:space="preserve">экспертный лист </w:t>
      </w:r>
      <w:r w:rsidR="00606B4B">
        <w:rPr>
          <w:sz w:val="28"/>
          <w:szCs w:val="28"/>
        </w:rPr>
        <w:t>и</w:t>
      </w:r>
      <w:r w:rsidR="00254BC3" w:rsidRPr="00952D3A">
        <w:rPr>
          <w:sz w:val="28"/>
          <w:szCs w:val="28"/>
        </w:rPr>
        <w:t xml:space="preserve"> экспертное заключение </w:t>
      </w:r>
      <w:r w:rsidR="00F75D52" w:rsidRPr="00952D3A">
        <w:rPr>
          <w:sz w:val="28"/>
          <w:szCs w:val="28"/>
        </w:rPr>
        <w:t>на аттестуемого работника</w:t>
      </w:r>
      <w:r w:rsidR="00B44A66">
        <w:rPr>
          <w:sz w:val="28"/>
          <w:szCs w:val="28"/>
        </w:rPr>
        <w:t>,</w:t>
      </w:r>
      <w:r w:rsidR="001B0A93">
        <w:rPr>
          <w:sz w:val="28"/>
          <w:szCs w:val="28"/>
        </w:rPr>
        <w:t xml:space="preserve"> с которым </w:t>
      </w:r>
      <w:r w:rsidR="00254BC3" w:rsidRPr="00F92967">
        <w:rPr>
          <w:sz w:val="28"/>
          <w:szCs w:val="28"/>
        </w:rPr>
        <w:t xml:space="preserve"> знакомят  работника под роспись не позднее трех дней после проведения экспертизы. </w:t>
      </w:r>
    </w:p>
    <w:p w:rsidR="00254BC3" w:rsidRPr="00431A51" w:rsidRDefault="00254BC3" w:rsidP="00254BC3">
      <w:pPr>
        <w:jc w:val="both"/>
        <w:rPr>
          <w:sz w:val="28"/>
          <w:szCs w:val="28"/>
        </w:rPr>
      </w:pPr>
      <w:r w:rsidRPr="00F92967">
        <w:rPr>
          <w:sz w:val="28"/>
          <w:szCs w:val="28"/>
        </w:rPr>
        <w:t xml:space="preserve">     </w:t>
      </w:r>
      <w:r w:rsidR="003210B7" w:rsidRPr="00F92967">
        <w:rPr>
          <w:sz w:val="28"/>
          <w:szCs w:val="28"/>
        </w:rPr>
        <w:t xml:space="preserve"> </w:t>
      </w:r>
      <w:r w:rsidR="00123A7D">
        <w:rPr>
          <w:sz w:val="28"/>
          <w:szCs w:val="28"/>
        </w:rPr>
        <w:t>2</w:t>
      </w:r>
      <w:r w:rsidR="003210B7" w:rsidRPr="00F92967">
        <w:rPr>
          <w:sz w:val="28"/>
          <w:szCs w:val="28"/>
        </w:rPr>
        <w:t>.</w:t>
      </w:r>
      <w:r w:rsidR="00123A7D">
        <w:rPr>
          <w:sz w:val="28"/>
          <w:szCs w:val="28"/>
        </w:rPr>
        <w:t>9</w:t>
      </w:r>
      <w:r w:rsidR="003210B7" w:rsidRPr="00F92967">
        <w:rPr>
          <w:sz w:val="28"/>
          <w:szCs w:val="28"/>
        </w:rPr>
        <w:t>.</w:t>
      </w:r>
      <w:r w:rsidR="00F92967">
        <w:rPr>
          <w:sz w:val="28"/>
          <w:szCs w:val="28"/>
        </w:rPr>
        <w:t xml:space="preserve"> </w:t>
      </w:r>
      <w:r w:rsidR="00A07A3F" w:rsidRPr="00F92967">
        <w:rPr>
          <w:sz w:val="28"/>
          <w:szCs w:val="28"/>
        </w:rPr>
        <w:t>Э</w:t>
      </w:r>
      <w:r w:rsidRPr="00F92967">
        <w:rPr>
          <w:sz w:val="28"/>
          <w:szCs w:val="28"/>
        </w:rPr>
        <w:t xml:space="preserve">кспертный лист, экспертное заключение </w:t>
      </w:r>
      <w:r w:rsidR="00A07A3F" w:rsidRPr="00F92967">
        <w:rPr>
          <w:sz w:val="28"/>
          <w:szCs w:val="28"/>
        </w:rPr>
        <w:t>учитываются</w:t>
      </w:r>
      <w:r w:rsidR="00320904" w:rsidRPr="00F92967">
        <w:rPr>
          <w:sz w:val="28"/>
          <w:szCs w:val="28"/>
        </w:rPr>
        <w:t xml:space="preserve"> </w:t>
      </w:r>
      <w:r w:rsidR="00F92967" w:rsidRPr="00F92967">
        <w:rPr>
          <w:sz w:val="28"/>
          <w:szCs w:val="28"/>
        </w:rPr>
        <w:t>аттестационной комиссией</w:t>
      </w:r>
      <w:r w:rsidR="00A07A3F" w:rsidRPr="00F92967">
        <w:rPr>
          <w:sz w:val="28"/>
          <w:szCs w:val="28"/>
        </w:rPr>
        <w:t xml:space="preserve"> при принятии решения о соответствии (несоответствии)</w:t>
      </w:r>
      <w:r w:rsidR="00320904" w:rsidRPr="00F92967">
        <w:rPr>
          <w:sz w:val="28"/>
          <w:szCs w:val="28"/>
        </w:rPr>
        <w:t xml:space="preserve"> аттестуемого </w:t>
      </w:r>
      <w:r w:rsidR="00320904" w:rsidRPr="00431A51">
        <w:rPr>
          <w:sz w:val="28"/>
          <w:szCs w:val="28"/>
        </w:rPr>
        <w:t>работника требованиям квалификационной категории</w:t>
      </w:r>
      <w:r w:rsidR="009B2FBD" w:rsidRPr="00431A51">
        <w:rPr>
          <w:sz w:val="28"/>
          <w:szCs w:val="28"/>
        </w:rPr>
        <w:t xml:space="preserve"> (первой или высшей)</w:t>
      </w:r>
      <w:r w:rsidR="00320904" w:rsidRPr="00431A51">
        <w:rPr>
          <w:sz w:val="28"/>
          <w:szCs w:val="28"/>
        </w:rPr>
        <w:t xml:space="preserve">. </w:t>
      </w:r>
      <w:r w:rsidRPr="00431A51">
        <w:rPr>
          <w:sz w:val="28"/>
          <w:szCs w:val="28"/>
        </w:rPr>
        <w:t xml:space="preserve">  </w:t>
      </w:r>
    </w:p>
    <w:p w:rsidR="004266D6" w:rsidRPr="00431A51" w:rsidRDefault="001B0A93" w:rsidP="00254BC3">
      <w:pPr>
        <w:jc w:val="both"/>
        <w:rPr>
          <w:b/>
          <w:sz w:val="28"/>
          <w:szCs w:val="28"/>
        </w:rPr>
      </w:pPr>
      <w:r w:rsidRPr="00431A51">
        <w:rPr>
          <w:b/>
          <w:sz w:val="28"/>
          <w:szCs w:val="28"/>
        </w:rPr>
        <w:t xml:space="preserve">       3. Финансирование</w:t>
      </w:r>
    </w:p>
    <w:p w:rsidR="00431A51" w:rsidRPr="00431A51" w:rsidRDefault="00AD584E" w:rsidP="00431A51">
      <w:pPr>
        <w:jc w:val="both"/>
        <w:rPr>
          <w:sz w:val="28"/>
          <w:szCs w:val="28"/>
        </w:rPr>
      </w:pPr>
      <w:r w:rsidRPr="00431A51">
        <w:rPr>
          <w:sz w:val="28"/>
          <w:szCs w:val="28"/>
        </w:rPr>
        <w:t xml:space="preserve">       3.1. Финансирование расходов, связанных с деятельностью членов экспертных групп, осуществляется </w:t>
      </w:r>
      <w:r w:rsidR="0064613E" w:rsidRPr="00431A51">
        <w:rPr>
          <w:sz w:val="28"/>
          <w:szCs w:val="28"/>
        </w:rPr>
        <w:t xml:space="preserve">в </w:t>
      </w:r>
      <w:proofErr w:type="gramStart"/>
      <w:r w:rsidR="0064613E" w:rsidRPr="00431A51">
        <w:rPr>
          <w:sz w:val="28"/>
          <w:szCs w:val="28"/>
        </w:rPr>
        <w:t>соответствии</w:t>
      </w:r>
      <w:proofErr w:type="gramEnd"/>
      <w:r w:rsidR="0064613E" w:rsidRPr="00431A51">
        <w:rPr>
          <w:sz w:val="28"/>
          <w:szCs w:val="28"/>
        </w:rPr>
        <w:t xml:space="preserve"> с действующим законодательством.</w:t>
      </w:r>
      <w:r w:rsidRPr="00431A51">
        <w:rPr>
          <w:sz w:val="28"/>
          <w:szCs w:val="28"/>
        </w:rPr>
        <w:t xml:space="preserve"> </w:t>
      </w:r>
    </w:p>
    <w:p w:rsidR="00431A51" w:rsidRDefault="00431A51" w:rsidP="00431A51">
      <w:pPr>
        <w:jc w:val="both"/>
        <w:rPr>
          <w:color w:val="FF0000"/>
          <w:sz w:val="28"/>
          <w:szCs w:val="28"/>
        </w:rPr>
      </w:pPr>
    </w:p>
    <w:p w:rsidR="00431A51" w:rsidRDefault="00431A51" w:rsidP="00431A51">
      <w:pPr>
        <w:jc w:val="both"/>
        <w:rPr>
          <w:color w:val="FF0000"/>
          <w:sz w:val="28"/>
          <w:szCs w:val="28"/>
        </w:rPr>
      </w:pPr>
    </w:p>
    <w:p w:rsidR="00254BC3" w:rsidRDefault="00254BC3" w:rsidP="00431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ЭКСПЕРТНЫЙ ЛИСТ</w:t>
      </w:r>
    </w:p>
    <w:p w:rsidR="00254BC3" w:rsidRDefault="00254BC3" w:rsidP="00254BC3">
      <w:pPr>
        <w:jc w:val="center"/>
        <w:rPr>
          <w:b/>
          <w:sz w:val="28"/>
          <w:szCs w:val="28"/>
        </w:rPr>
      </w:pPr>
    </w:p>
    <w:p w:rsidR="00254BC3" w:rsidRDefault="00254BC3" w:rsidP="00254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экспертной оценки и самооценки педагогической компетентности____________________________________________</w:t>
      </w:r>
    </w:p>
    <w:p w:rsidR="00254BC3" w:rsidRDefault="00254BC3" w:rsidP="00254BC3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>(ФИО, должность, предмет, место работы аттестуемого работника)</w:t>
      </w:r>
    </w:p>
    <w:p w:rsidR="00254BC3" w:rsidRDefault="00254BC3" w:rsidP="00254BC3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381"/>
        <w:gridCol w:w="1701"/>
        <w:gridCol w:w="1468"/>
      </w:tblGrid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BC3" w:rsidRDefault="00254BC3">
            <w:pPr>
              <w:jc w:val="center"/>
              <w:rPr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C3" w:rsidRDefault="00254B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BC3" w:rsidRDefault="00254B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Самооценка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C3" w:rsidRDefault="00254B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Экспертная оценка </w:t>
            </w: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  <w:hideMark/>
          </w:tcPr>
          <w:p w:rsidR="00254BC3" w:rsidRDefault="00254BC3">
            <w:pPr>
              <w:ind w:firstLine="4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254BC3" w:rsidRDefault="00254B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Компетентность в области личностных качеств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lang w:eastAsia="en-US"/>
              </w:rPr>
              <w:t>Эмпатийность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социорефлексия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lang w:eastAsia="en-US"/>
              </w:rPr>
              <w:t>Самоорганизованность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Общая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254BC3" w:rsidRDefault="00254BC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Компетентность в области постановки целей и задач педагогической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Умение ставить цели и задачи в соответствии с возрастными и индивидуальными особенностями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Умение перевести тему урока в педагогическую задачу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Умение вовлечь обучающихся в процесс формулирования целей и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254BC3" w:rsidRDefault="00254BC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Компетентность в области мотивации учебной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Умение создавать ситуации, обеспечивающие успех в учебной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Умение создавать условия, обеспечения позитивной мотивации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Умение создавать условия для самомотивирования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254BC3" w:rsidRDefault="00254B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Компетентность в области обеспечения информационной основы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Компетентность в методах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>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Компетентность в предмете преподавания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4</w:t>
            </w:r>
            <w:r>
              <w:rPr>
                <w:lang w:eastAsia="en-US"/>
              </w:rPr>
              <w:t>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Компетентность в субъективных условиях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254BC3" w:rsidRDefault="00254BC3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Компетентность в области разработки программы деятельности и принятии педагогических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Умение выбрать и реализовать типовые 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Умение разработать собственную программу, методические и дидактические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Умение принимать решения в педагогических ситуациях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254BC3" w:rsidRDefault="00254B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Компетентность в области организации учебной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Умение устанавливать </w:t>
            </w:r>
            <w:proofErr w:type="gramStart"/>
            <w:r>
              <w:rPr>
                <w:lang w:eastAsia="en-US"/>
              </w:rPr>
              <w:t>субъект-субъектные</w:t>
            </w:r>
            <w:proofErr w:type="gramEnd"/>
            <w:r>
              <w:rPr>
                <w:lang w:eastAsia="en-US"/>
              </w:rPr>
              <w:t xml:space="preserve">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Умение организовать учебную деятельность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ind w:firstLine="44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BC3" w:rsidRDefault="00254BC3">
            <w:pPr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Умение реализовать педагогическое оценивание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54BC3" w:rsidTr="00254BC3">
        <w:trPr>
          <w:trHeight w:val="25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BC3" w:rsidRDefault="00254BC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Итоговые баллы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BC3" w:rsidRDefault="00254BC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BC3" w:rsidRDefault="00254BC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54BC3" w:rsidRDefault="00254BC3" w:rsidP="00254BC3">
      <w:pPr>
        <w:pStyle w:val="a3"/>
        <w:numPr>
          <w:ilvl w:val="0"/>
          <w:numId w:val="2"/>
        </w:numPr>
      </w:pPr>
      <w:r>
        <w:t>Независимый эксперт:</w:t>
      </w:r>
    </w:p>
    <w:p w:rsidR="00254BC3" w:rsidRDefault="00254BC3" w:rsidP="00254BC3">
      <w:r>
        <w:t xml:space="preserve">       Должность, ФИО                          (подпись)                                        (расшифровка подписи)</w:t>
      </w:r>
    </w:p>
    <w:p w:rsidR="00254BC3" w:rsidRDefault="00254BC3" w:rsidP="00254BC3">
      <w:pPr>
        <w:pStyle w:val="a3"/>
      </w:pPr>
    </w:p>
    <w:p w:rsidR="00254BC3" w:rsidRDefault="00254BC3" w:rsidP="00254BC3">
      <w:pPr>
        <w:pStyle w:val="a3"/>
        <w:numPr>
          <w:ilvl w:val="0"/>
          <w:numId w:val="2"/>
        </w:numPr>
      </w:pPr>
      <w:r>
        <w:t xml:space="preserve"> Заместитель директора </w:t>
      </w:r>
      <w:proofErr w:type="gramStart"/>
      <w:r>
        <w:t>образовательно</w:t>
      </w:r>
      <w:r w:rsidR="00426F2E">
        <w:t>й</w:t>
      </w:r>
      <w:proofErr w:type="gramEnd"/>
    </w:p>
    <w:p w:rsidR="00254BC3" w:rsidRDefault="00426F2E" w:rsidP="00254BC3">
      <w:r>
        <w:t>организации</w:t>
      </w:r>
      <w:r w:rsidR="00254BC3">
        <w:t xml:space="preserve"> (указать наименование ОУ)</w:t>
      </w:r>
    </w:p>
    <w:p w:rsidR="00254BC3" w:rsidRDefault="00254BC3" w:rsidP="00254BC3">
      <w:r>
        <w:t xml:space="preserve">      ФИО                                                (подпись)                                           (расшифровка подписи)</w:t>
      </w:r>
    </w:p>
    <w:p w:rsidR="00B37094" w:rsidRDefault="00254BC3" w:rsidP="00426F2E">
      <w:pPr>
        <w:pStyle w:val="a3"/>
        <w:ind w:left="0" w:firstLine="720"/>
      </w:pPr>
      <w:r>
        <w:t>Дата заполнения экспертного листа  ______________20___г.</w:t>
      </w:r>
    </w:p>
    <w:sectPr w:rsidR="00B37094" w:rsidSect="00E40C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63BF"/>
    <w:multiLevelType w:val="multilevel"/>
    <w:tmpl w:val="68D04F8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69356FEF"/>
    <w:multiLevelType w:val="hybridMultilevel"/>
    <w:tmpl w:val="723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15F0"/>
    <w:multiLevelType w:val="hybridMultilevel"/>
    <w:tmpl w:val="AC78F288"/>
    <w:lvl w:ilvl="0" w:tplc="8A124DC4">
      <w:start w:val="10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C3"/>
    <w:rsid w:val="00003E37"/>
    <w:rsid w:val="00023DAE"/>
    <w:rsid w:val="00037FDF"/>
    <w:rsid w:val="000E26C6"/>
    <w:rsid w:val="000E2D8F"/>
    <w:rsid w:val="00123A7D"/>
    <w:rsid w:val="00127E6D"/>
    <w:rsid w:val="00133171"/>
    <w:rsid w:val="00151F04"/>
    <w:rsid w:val="00174EFA"/>
    <w:rsid w:val="001752BB"/>
    <w:rsid w:val="001B0A93"/>
    <w:rsid w:val="001C639E"/>
    <w:rsid w:val="001C6660"/>
    <w:rsid w:val="001E7C9E"/>
    <w:rsid w:val="001F0818"/>
    <w:rsid w:val="001F5694"/>
    <w:rsid w:val="00254BC3"/>
    <w:rsid w:val="00260E5D"/>
    <w:rsid w:val="00266792"/>
    <w:rsid w:val="002D1A69"/>
    <w:rsid w:val="002D20B6"/>
    <w:rsid w:val="00320904"/>
    <w:rsid w:val="003210B7"/>
    <w:rsid w:val="00334FC7"/>
    <w:rsid w:val="00337C1C"/>
    <w:rsid w:val="00344D93"/>
    <w:rsid w:val="00345F13"/>
    <w:rsid w:val="0034763F"/>
    <w:rsid w:val="00347A58"/>
    <w:rsid w:val="00372F8E"/>
    <w:rsid w:val="003B501D"/>
    <w:rsid w:val="003D0CDB"/>
    <w:rsid w:val="004266D6"/>
    <w:rsid w:val="00426F2E"/>
    <w:rsid w:val="00431A51"/>
    <w:rsid w:val="0048458B"/>
    <w:rsid w:val="004C4FFA"/>
    <w:rsid w:val="004D6B5B"/>
    <w:rsid w:val="004E6AB9"/>
    <w:rsid w:val="00507ED3"/>
    <w:rsid w:val="00516FA7"/>
    <w:rsid w:val="0052235E"/>
    <w:rsid w:val="00564A8C"/>
    <w:rsid w:val="005719D6"/>
    <w:rsid w:val="0058185E"/>
    <w:rsid w:val="005D77D4"/>
    <w:rsid w:val="005F0503"/>
    <w:rsid w:val="005F2785"/>
    <w:rsid w:val="005F35B6"/>
    <w:rsid w:val="00606B4B"/>
    <w:rsid w:val="0064613E"/>
    <w:rsid w:val="00685EE4"/>
    <w:rsid w:val="006D0647"/>
    <w:rsid w:val="006F252B"/>
    <w:rsid w:val="0074012B"/>
    <w:rsid w:val="007720CB"/>
    <w:rsid w:val="00784F2C"/>
    <w:rsid w:val="007B3A59"/>
    <w:rsid w:val="007B61CF"/>
    <w:rsid w:val="007D42F6"/>
    <w:rsid w:val="007E4919"/>
    <w:rsid w:val="007E6DC9"/>
    <w:rsid w:val="008659FA"/>
    <w:rsid w:val="00884B96"/>
    <w:rsid w:val="00897ED3"/>
    <w:rsid w:val="008C6D97"/>
    <w:rsid w:val="009170C2"/>
    <w:rsid w:val="009271BE"/>
    <w:rsid w:val="00952D3A"/>
    <w:rsid w:val="00974D43"/>
    <w:rsid w:val="00977624"/>
    <w:rsid w:val="009A5515"/>
    <w:rsid w:val="009B2FBD"/>
    <w:rsid w:val="009C7D2E"/>
    <w:rsid w:val="009F26B4"/>
    <w:rsid w:val="00A059C5"/>
    <w:rsid w:val="00A07A3F"/>
    <w:rsid w:val="00A10D90"/>
    <w:rsid w:val="00A400FA"/>
    <w:rsid w:val="00A44BD1"/>
    <w:rsid w:val="00A74187"/>
    <w:rsid w:val="00A82A9B"/>
    <w:rsid w:val="00AA66B4"/>
    <w:rsid w:val="00AC1CC2"/>
    <w:rsid w:val="00AD584E"/>
    <w:rsid w:val="00B37094"/>
    <w:rsid w:val="00B44A66"/>
    <w:rsid w:val="00B6404C"/>
    <w:rsid w:val="00BE01BA"/>
    <w:rsid w:val="00C8443B"/>
    <w:rsid w:val="00CF4283"/>
    <w:rsid w:val="00D20F02"/>
    <w:rsid w:val="00D75012"/>
    <w:rsid w:val="00DA7E77"/>
    <w:rsid w:val="00E22F98"/>
    <w:rsid w:val="00E26719"/>
    <w:rsid w:val="00E40CCE"/>
    <w:rsid w:val="00E80F05"/>
    <w:rsid w:val="00EB17BC"/>
    <w:rsid w:val="00EB592D"/>
    <w:rsid w:val="00EB7356"/>
    <w:rsid w:val="00F1109F"/>
    <w:rsid w:val="00F124B8"/>
    <w:rsid w:val="00F56C9C"/>
    <w:rsid w:val="00F75D52"/>
    <w:rsid w:val="00F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C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D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D8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34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C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D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D8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34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4E6B-8AF5-4DCD-802F-B6215267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Shayahmetova</cp:lastModifiedBy>
  <cp:revision>40</cp:revision>
  <cp:lastPrinted>2011-11-23T05:23:00Z</cp:lastPrinted>
  <dcterms:created xsi:type="dcterms:W3CDTF">2011-11-16T13:25:00Z</dcterms:created>
  <dcterms:modified xsi:type="dcterms:W3CDTF">2015-02-17T13:58:00Z</dcterms:modified>
</cp:coreProperties>
</file>