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00"/>
        <w:ind w:left="8496" w:firstLine="708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7"/>
          <w:szCs w:val="27"/>
        </w:rPr>
        <w:t xml:space="preserve">проект</w:t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5953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</w:p>
    <w:p>
      <w:pPr>
        <w:pStyle w:val="929"/>
        <w:ind w:left="0" w:right="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</w:p>
    <w:p>
      <w:pPr>
        <w:pStyle w:val="929"/>
        <w:ind w:left="0" w:righ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</w:p>
    <w:p>
      <w:pPr>
        <w:pStyle w:val="929"/>
        <w:ind w:left="0" w:right="0" w:firstLine="0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  <w:r>
        <w:rPr>
          <w:rFonts w:ascii="Times New Roman" w:hAnsi="Times New Roman" w:cs="Times New Roman"/>
          <w:color w:val="000000"/>
          <w:sz w:val="27"/>
          <w:szCs w:val="27"/>
        </w:rPr>
      </w:r>
    </w:p>
    <w:p>
      <w:pPr>
        <w:pStyle w:val="929"/>
        <w:contextualSpacing w:val="0"/>
        <w:ind w:left="0" w:right="0" w:firstLine="0"/>
        <w:jc w:val="both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/>
          <w:sz w:val="27"/>
          <w:szCs w:val="27"/>
          <w:highlight w:val="none"/>
        </w:rPr>
        <w:suppressLineNumbers w:val="0"/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1.Утвердить прилагаемый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Административный регламент предоставления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.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</w:p>
    <w:p>
      <w:pPr>
        <w:pStyle w:val="929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9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3. Признать утратившими силу следующие 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приказы Министерства образования и науки Республики Татарстан: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9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26.08.2021 № под-1117/21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услуги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29"/>
        <w:ind w:left="0" w:right="0" w:firstLine="708"/>
        <w:jc w:val="both"/>
      </w:pP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от 28.10.2021 № под-1379/21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 «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О внесении изменений в Административный регламент 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семье, утвержденный приказом Министерства образования и науки Республики Татарстан от 26.08.2021 № под-1117/21</w:t>
      </w:r>
      <w:r>
        <w:rPr>
          <w:rFonts w:ascii="Times New Roman" w:hAnsi="Times New Roman" w:cs="Times New Roman"/>
          <w:color w:val="000000"/>
          <w:sz w:val="27"/>
          <w:szCs w:val="27"/>
          <w:highlight w:val="none"/>
        </w:rPr>
        <w:t xml:space="preserve">».</w:t>
      </w:r>
      <w:r/>
    </w:p>
    <w:p>
      <w:pPr>
        <w:pStyle w:val="929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И.о.министра                                                              </w:t>
        <w:tab/>
        <w:tab/>
        <w:tab/>
        <w:tab/>
        <w:t xml:space="preserve">   Р.Г.Музипов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378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378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Республики Татарстан</w:t>
      </w:r>
      <w:r/>
    </w:p>
    <w:p>
      <w:pPr>
        <w:ind w:left="6378" w:right="0" w:firstLine="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 № _________</w:t>
      </w:r>
      <w:r/>
    </w:p>
    <w:p>
      <w:pPr>
        <w:pStyle w:val="722"/>
        <w:ind w:left="0" w:right="0" w:firstLine="0"/>
        <w:jc w:val="center"/>
        <w:spacing w:before="0" w:beforeAutospacing="0" w:after="0" w:afterAutospacing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2"/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22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22"/>
        <w:ind w:left="0" w:right="0" w:firstLine="0"/>
        <w:jc w:val="center"/>
        <w:spacing w:before="0" w:beforeAutospacing="0" w:after="0" w:afterAutospacing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2"/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722"/>
        <w:ind w:left="0" w:right="0" w:firstLine="708"/>
        <w:jc w:val="both"/>
        <w:spacing w:before="0" w:beforeAutospacing="0" w:after="0" w:afterAutospacing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1.1 Настоящий Регламент устанавливает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стандарт и порядок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предоставления государственной услуги по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назначению ежемесячной выплаты на содержание ребенка в семье опекуна (попечителя) и приемной семье (далее - государственная услуга)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22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Заявителями являются: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22"/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опекуны/попечи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тели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(на возмездной и безвоздмездной основе),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проживающие на территории муниципального района (городского округа) Республики Татарстан;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afterAutospacing="0" w:line="240" w:lineRule="auto"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/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0"/>
        <w:contextualSpacing/>
        <w:jc w:val="center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Назначение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601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назначение ежемесячной выплаты на содержание ребенка в семье опекуна (попечителя) и приемной семье (При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ожение №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Регламенту);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601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 отказе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(Прило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ение № 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 Регламенту).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contextualSpacing/>
        <w:ind w:firstLine="567"/>
        <w:jc w:val="both"/>
        <w:spacing w:before="108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в личный кабинет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ых услуг Республики Татарстан» (http://uslugi.tatarstan.ru/) (далее – Республиканский портал).</w:t>
      </w:r>
      <w:r/>
    </w:p>
    <w:p>
      <w:pPr>
        <w:contextualSpacing/>
        <w:ind w:firstLine="708"/>
        <w:jc w:val="both"/>
        <w:spacing w:before="108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contextualSpacing/>
        <w:ind w:firstLine="708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.7.2. При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Республиканском портале.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2.10.1. Государственная услуга может быть осуществлена через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2.10.3. При предоставлении государственной услуги используются: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автоматизированная информационная система «Опека и попечительство».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фамилию, имя, отчество (при наличии);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номер телефона;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адрес электронной почты (по желанию);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желаемую дату и время приема.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указанием даты, времени и места приема.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Заявитель в любое время вправе отказаться от предварительной записи.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2.10.5. Особенности предоставления государственной услуги в электронной форме.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ости), Республиканского портала;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осуществить оценку качества предоставления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лицами, государственными и муниципальными служащими.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2.10.5.3. При формировании запроса обеспечивается: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возможность печати на бумажном носителе копии электронной формы запроса;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ся сведений, отсутствующих в ЕСИА;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регистрации запроса и документов, поданных заявителем.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Запрос, подаваемый на бумажном носителе, подается по формам согласно приложен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4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настоящему Регламенту, подписывается заявителем собственноручно.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ием государственных и муниципальных услуг».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лично;</w:t>
      </w:r>
      <w:r/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вручении.</w:t>
      </w:r>
      <w:r/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ым настоящим Регламентом);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6 к насто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ящему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Регламенту, подписывается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через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2.12.4. Основания для приостановления государственной услуги отсутствуют.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2.12.5. Основания для отказа в предоставлении государственной услуги: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выявление в представленных документах недостоверных сведений;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обращение с документами лица, не указанного в пункте 1.2 настоящего Регламента.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прило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widowControl w:val="off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Перечень осуществляемых при предоставлении государственной услуги административных процедур: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профилирование заявителя;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межведомственное информационное взаимодействие;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принятие решения о предоставлении (об отказе в предоставлении)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предоставление результата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Способы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Единого портала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Республиканского портала;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почтового отправления по адресу, указанному заявителем;</w:t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вручением лично при непосредственном обращении в орган опеки и попечительства;</w:t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 №1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 №2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5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4678"/>
        <w:gridCol w:w="2682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35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решение о назначении ежемесячной выплаты на содержание ребенка в семье опекуна (попечителя) и приемной семье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опекуны/попечи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тели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(на возмездной и безвоздмездной основе),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проживающие на территории муниципального района (городского округа)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highlight w:val="none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56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454"/>
        <w:gridCol w:w="4535"/>
        <w:gridCol w:w="3653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копия документа, содержащего информацию о реквизитах кредитной организации и банковского счета для перечисления денежных средств (при условии получения выплат на номинальный счет, открытый на имя подопечного ребенка)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документ, подтверждающий отсутствие ребенка в учебном заведении (при условии обучения ребенка в общеобразовательной организации с дополнительной программой подготовки к военной или иной государственной службе)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едений о регистрации по месту пребывания гражданина Российской Федерации;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сведения, подтверждающие обучение несовершеннолетнего (из общеобразовательных организаций по месту обучения несовершеннолетнего)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931"/>
              <w:ind w:firstLine="0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информация о неполучении выплат на содержание подопечного ребенка (в случае если ребенок с опекуном (попечителем) переехали из другого субъекта Российской Федерации) при ее отсутствии в личном деле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Опека и попечительство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spacing w:before="0" w:beforeAutospacing="0" w:after="0" w:afterAutospacing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справки о совместном проживании ребенка по месту жительства опекуна (попечителя) (в случае, если подопечный ребенок проживает совместно с опекуном, попечителем, но не имеет регистрации по месту жительства опекуна (попечителя).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4394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Приложение №3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ind w:right="-1"/>
        <w:jc w:val="left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right="-1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right="-1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5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3"/>
                <w:szCs w:val="23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1.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1А, 2А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3"/>
                <w:szCs w:val="23"/>
                <w:highlight w:val="white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white"/>
              </w:rPr>
              <w:t xml:space="preserve">1А, 2А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4394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pacing w:val="2"/>
          <w:sz w:val="28"/>
          <w:szCs w:val="28"/>
          <w:highlight w:val="none"/>
        </w:rPr>
      </w:r>
    </w:p>
    <w:p>
      <w:pPr>
        <w:pStyle w:val="900"/>
        <w:contextualSpacing w:val="0"/>
        <w:ind w:left="720" w:right="0" w:firstLine="0"/>
        <w:jc w:val="both"/>
        <w:spacing w:before="0" w:after="0" w:afterAutospacing="0" w:line="276" w:lineRule="auto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Style w:val="932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                                 Приложение №4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4" w:right="0" w:firstLine="4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ОГРН______________________________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4" w:right="0" w:firstLine="4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952" w:right="0" w:firstLine="4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телефон: 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паспорт: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952" w:right="0" w:firstLine="42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contextualSpacing/>
        <w:ind w:left="5244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00"/>
        <w:ind w:left="720" w:right="0" w:firstLine="0"/>
        <w:jc w:val="center"/>
        <w:spacing w:after="0" w:afterAutospacing="0"/>
        <w:tabs>
          <w:tab w:val="left" w:pos="5528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апрос</w:t>
      </w:r>
      <w:r>
        <w:rPr>
          <w:rStyle w:val="93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предоставление государственной </w:t>
      </w:r>
      <w:r>
        <w:rPr>
          <w:rStyle w:val="93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услуги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назначению ежемесячной выплаты на содержание ребенка в семье опекуна (попечителя) и приемной семье</w:t>
      </w:r>
      <w:r>
        <w:rPr>
          <w:rStyle w:val="93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Style w:val="932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708"/>
        <w:jc w:val="left"/>
        <w:spacing w:before="0" w:beforeAutospacing="0" w:after="0" w:afterAutospacing="0" w:line="283" w:lineRule="atLeast"/>
        <w:rPr>
          <w:rFonts w:ascii="Arial" w:hAnsi="Arial" w:eastAsia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t xml:space="preserve">Прошу назначить ежемесячную денежную выплату 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ind w:left="0" w:right="0" w:firstLine="708"/>
        <w:spacing w:before="0" w:beforeAutospacing="0" w:after="0" w:afterAutospacing="0" w:line="283" w:lineRule="atLeast"/>
        <w:shd w:val="clear" w:color="ffffff" w:fill="ffffff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vertAlign w:val="superscript"/>
        </w:rPr>
        <w:t xml:space="preserve">(Ф.И.О. ребенка, в отношении ребенка, который находится под опекой или попечительством, дата рождения)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Договор о назначении опеки/ попечительстве/ о приемной семье заключен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83" w:lineRule="atLeast"/>
        <w:shd w:val="clear" w:color="ffffff" w:fill="ffffff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vertAlign w:val="superscript"/>
        </w:rPr>
        <w:t xml:space="preserve">(дата заключения договора)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ind w:left="0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Денежные средства прошу перечислять на мой счет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</w:rPr>
        <w:t xml:space="preserve">___________________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left="7788" w:right="0" w:firstLine="708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  <w:t xml:space="preserve">(номер счета)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открытый в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кредитной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 w:right="0" w:firstLine="708"/>
        <w:jc w:val="center"/>
        <w:spacing w:before="0" w:beforeAutospacing="0" w:after="0" w:afterAutospacing="0" w:line="283" w:lineRule="atLeast"/>
        <w:shd w:val="clear" w:color="ffffff" w:fill="ffffff"/>
        <w:rPr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  <w:vertAlign w:val="superscript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vertAlign w:val="superscript"/>
        </w:rPr>
        <w:t xml:space="preserve">(указать наименование банка)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pPr>
        <w:contextualSpacing w:val="0"/>
        <w:ind w:firstLine="708"/>
        <w:jc w:val="both"/>
        <w:spacing w:before="0" w:after="0" w:afterAutospacing="0" w:line="276" w:lineRule="auto"/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прошу представить/направить   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(лично, посредством  заказного почтового отправления,  через  многофункциональный  центр  предоставления государственных и муниципальных услуг, Единый порта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 (при наличии технической возможности), через Республиканский портал - выбрать нужное).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left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Подтверждаю достоверность представленной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left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предупрежден(а) об ответственности за представление недостоверных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left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afterAutospacing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    5._____________________________________________________________________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hanging="45"/>
        <w:jc w:val="left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ind w:firstLine="0"/>
        <w:spacing w:after="0" w:afterAutospacing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</w:t>
        <w:tab/>
        <w:tab/>
        <w:tab/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</w:t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</w:p>
    <w:p>
      <w:pPr>
        <w:pStyle w:val="740"/>
        <w:numPr>
          <w:ilvl w:val="0"/>
          <w:numId w:val="16"/>
        </w:numPr>
        <w:ind w:right="0"/>
        <w:jc w:val="both"/>
        <w:spacing w:before="0" w:beforeAutospacing="0" w:after="0" w:afterAutospacing="0" w:line="283" w:lineRule="atLeast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 №5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eastAsia="Arial" w:cs="Arial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 w:right="0" w:firstLine="708"/>
        <w:jc w:val="center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Рекомендуемая форма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0"/>
        <w:jc w:val="right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/>
        <w:br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РЕШЕНИЕ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b w:val="0"/>
          <w:bCs w:val="0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о назначении ежемесячной выплаты на содержание ребенка в семье опекуна (попечителя) и приемной семье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b w:val="0"/>
          <w:bCs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от___________ </w:t>
        <w:tab/>
        <w:tab/>
        <w:tab/>
        <w:tab/>
        <w:tab/>
        <w:tab/>
        <w:tab/>
        <w:tab/>
        <w:tab/>
        <w:t xml:space="preserve">№___________ 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6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Рассмотрев Ваш запрос от______________№______________ в соответствии с Гражданским кодексом Российской Федерации, Семейным кодексом Российской Федерации, Семейным кодексом Республики Татарстан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принято решение о назначении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(наименование органа местного самоуправления)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ежемесячной выплаты на содержание несовершеннолетнего 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vertAlign w:val="superscript"/>
        </w:rPr>
        <w:t xml:space="preserve">(ФИО (при наличии) несовершеннолетнего, дата рождения)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 семье опекуна (попечителя) и приемной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семье.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9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Величина ежемесячной выплаты на содержание ребенка в семье опекуна (попечителя) и приемной семье: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9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Дата начала выплаты на содержание ребенка в семье опекуна (попечителя) и приемной семье: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9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Наименование кредитной организации 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9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Счет получателя: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Дополнительная информация________________________________________________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ind w:left="0" w:right="0" w:firstLine="0"/>
        <w:spacing w:before="0" w:beforeAutospacing="0" w:after="0" w:afterAutospacing="0" w:line="57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                                                               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33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shd w:val="nil" w:color="000000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Приложение№6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lef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eastAsia="SimSu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06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keepNext/>
        <w:spacing w:after="0" w:afterAutospacing="0" w:line="240" w:lineRule="auto"/>
        <w:widowControl w:val="off"/>
        <w:rPr>
          <w:rFonts w:eastAsia="SimSun"/>
          <w:color w:val="000000" w:themeColor="text1"/>
        </w:rPr>
        <w:outlineLvl w:val="0"/>
      </w:pPr>
      <w:r>
        <w:rPr>
          <w:rFonts w:eastAsia="SimSun"/>
          <w:color w:val="000000" w:themeColor="text1"/>
          <w:sz w:val="28"/>
          <w:szCs w:val="28"/>
        </w:rPr>
      </w:r>
      <w:r>
        <w:rPr>
          <w:rFonts w:eastAsia="SimSun"/>
          <w:color w:val="000000" w:themeColor="text1"/>
        </w:rPr>
      </w:r>
      <w:r>
        <w:rPr>
          <w:rFonts w:eastAsia="SimSun"/>
          <w:color w:val="000000" w:themeColor="text1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left="0" w:right="-1" w:firstLine="720"/>
        <w:jc w:val="both"/>
        <w:spacing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результатам рассмотрения запроса__________________________________________________________________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20" w:right="-1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ФИО заявителя (последнее при наличии)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</w:p>
    <w:p>
      <w:pPr>
        <w:ind w:left="0" w:right="-1" w:firstLine="0"/>
        <w:jc w:val="both"/>
        <w:spacing w:after="0" w:afterAutospacing="0" w:line="240" w:lineRule="auto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т___________№_______и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отказать в приеме документов, необ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ходимых для предоставления услуги, по основанию:_________________________________.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-1" w:firstLine="720"/>
        <w:jc w:val="both"/>
        <w:spacing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jc w:val="both"/>
        <w:spacing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18" w:firstLine="482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284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widowControl w:val="off"/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br w:type="page" w:clear="all"/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left="3544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left="5244" w:right="0" w:firstLine="0"/>
        <w:jc w:val="both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Приложение№7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предоставления государственной услуги по назначению ежемесячной выплаты на содержание ребенка в семье опекуна (попечителя) и приемной семье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Рекомендуемая 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езультатам рассмотрения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708" w:firstLine="708"/>
        <w:jc w:val="left"/>
        <w:spacing w:after="0" w:afterAutospacing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(указывается в том числе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документов и информации, отсутствие и (или) недостоверность которых стали причиной отказа, а также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5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516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hd w:val="nil" w:color="0000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929"/>
        <w:ind w:left="0" w:right="5529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t xml:space="preserve">1</w:t>
      </w:r>
    </w:fldSimple>
    <w:r/>
    <w:r/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pacing w:val="2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16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902">
    <w:name w:val="Основной шрифт абзаца"/>
    <w:next w:val="902"/>
    <w:link w:val="900"/>
    <w:uiPriority w:val="1"/>
    <w:semiHidden/>
    <w:unhideWhenUsed/>
  </w:style>
  <w:style w:type="table" w:styleId="903">
    <w:name w:val="Обычная таблица"/>
    <w:next w:val="903"/>
    <w:link w:val="900"/>
    <w:uiPriority w:val="99"/>
    <w:semiHidden/>
    <w:unhideWhenUsed/>
    <w:tblPr/>
  </w:style>
  <w:style w:type="numbering" w:styleId="904">
    <w:name w:val="Нет списка"/>
    <w:next w:val="904"/>
    <w:link w:val="900"/>
    <w:uiPriority w:val="99"/>
    <w:semiHidden/>
    <w:unhideWhenUsed/>
  </w:style>
  <w:style w:type="table" w:styleId="905">
    <w:name w:val="Сетка таблицы"/>
    <w:basedOn w:val="903"/>
    <w:next w:val="905"/>
    <w:link w:val="900"/>
    <w:tblPr/>
  </w:style>
  <w:style w:type="paragraph" w:styleId="906">
    <w:name w:val="Текст выноски"/>
    <w:basedOn w:val="900"/>
    <w:next w:val="906"/>
    <w:link w:val="900"/>
    <w:semiHidden/>
    <w:rPr>
      <w:rFonts w:ascii="Tahoma" w:hAnsi="Tahoma" w:cs="Tahoma"/>
      <w:sz w:val="16"/>
      <w:szCs w:val="16"/>
    </w:rPr>
  </w:style>
  <w:style w:type="paragraph" w:styleId="907">
    <w:name w:val="Название"/>
    <w:basedOn w:val="900"/>
    <w:next w:val="907"/>
    <w:link w:val="922"/>
    <w:qFormat/>
    <w:pPr>
      <w:jc w:val="center"/>
    </w:pPr>
    <w:rPr>
      <w:b/>
      <w:sz w:val="27"/>
      <w:szCs w:val="20"/>
      <w:lang w:val="en-US" w:eastAsia="en-US"/>
    </w:rPr>
  </w:style>
  <w:style w:type="paragraph" w:styleId="908">
    <w:name w:val="Абзац списка"/>
    <w:basedOn w:val="900"/>
    <w:next w:val="908"/>
    <w:link w:val="900"/>
    <w:uiPriority w:val="34"/>
    <w:qFormat/>
    <w:pPr>
      <w:contextualSpacing/>
      <w:ind w:left="720"/>
    </w:pPr>
  </w:style>
  <w:style w:type="character" w:styleId="909">
    <w:name w:val="Гиперссылка"/>
    <w:next w:val="909"/>
    <w:link w:val="900"/>
    <w:rPr>
      <w:color w:val="0000ff"/>
      <w:u w:val="single"/>
    </w:rPr>
  </w:style>
  <w:style w:type="paragraph" w:styleId="910">
    <w:name w:val="Без интервала"/>
    <w:next w:val="910"/>
    <w:link w:val="900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911">
    <w:name w:val="Верхний колонтитул"/>
    <w:basedOn w:val="900"/>
    <w:next w:val="911"/>
    <w:link w:val="91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2">
    <w:name w:val="Верхний колонтитул Знак"/>
    <w:next w:val="912"/>
    <w:link w:val="911"/>
    <w:rPr>
      <w:sz w:val="24"/>
      <w:szCs w:val="24"/>
    </w:rPr>
  </w:style>
  <w:style w:type="paragraph" w:styleId="913">
    <w:name w:val="Нижний колонтитул"/>
    <w:basedOn w:val="900"/>
    <w:next w:val="913"/>
    <w:link w:val="91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4">
    <w:name w:val="Нижний колонтитул Знак"/>
    <w:next w:val="914"/>
    <w:link w:val="913"/>
    <w:rPr>
      <w:sz w:val="24"/>
      <w:szCs w:val="24"/>
    </w:rPr>
  </w:style>
  <w:style w:type="character" w:styleId="915">
    <w:name w:val="Замещающий текст"/>
    <w:next w:val="915"/>
    <w:link w:val="900"/>
    <w:uiPriority w:val="99"/>
    <w:semiHidden/>
    <w:rPr>
      <w:color w:val="808080"/>
    </w:rPr>
  </w:style>
  <w:style w:type="character" w:styleId="916">
    <w:name w:val="Заголовок 1 Знак"/>
    <w:next w:val="916"/>
    <w:link w:val="901"/>
    <w:rPr>
      <w:b/>
      <w:sz w:val="28"/>
    </w:rPr>
  </w:style>
  <w:style w:type="paragraph" w:styleId="917">
    <w:name w:val="Основной текст с отступом 2"/>
    <w:basedOn w:val="900"/>
    <w:next w:val="917"/>
    <w:link w:val="918"/>
    <w:pPr>
      <w:ind w:left="283"/>
      <w:spacing w:after="120" w:line="480" w:lineRule="auto"/>
    </w:pPr>
    <w:rPr>
      <w:lang w:val="en-US" w:eastAsia="en-US"/>
    </w:rPr>
  </w:style>
  <w:style w:type="character" w:styleId="918">
    <w:name w:val="Основной текст с отступом 2 Знак"/>
    <w:next w:val="918"/>
    <w:link w:val="917"/>
    <w:rPr>
      <w:sz w:val="24"/>
      <w:szCs w:val="24"/>
    </w:rPr>
  </w:style>
  <w:style w:type="paragraph" w:styleId="919">
    <w:name w:val="Основной текст 2"/>
    <w:basedOn w:val="900"/>
    <w:next w:val="919"/>
    <w:link w:val="920"/>
    <w:pPr>
      <w:spacing w:after="120" w:line="480" w:lineRule="auto"/>
    </w:pPr>
    <w:rPr>
      <w:lang w:val="en-US" w:eastAsia="en-US"/>
    </w:rPr>
  </w:style>
  <w:style w:type="character" w:styleId="920">
    <w:name w:val="Основной текст 2 Знак"/>
    <w:next w:val="920"/>
    <w:link w:val="919"/>
    <w:rPr>
      <w:sz w:val="24"/>
      <w:szCs w:val="24"/>
    </w:rPr>
  </w:style>
  <w:style w:type="character" w:styleId="921">
    <w:name w:val="st1"/>
    <w:next w:val="921"/>
    <w:link w:val="900"/>
  </w:style>
  <w:style w:type="character" w:styleId="922">
    <w:name w:val="Название Знак"/>
    <w:next w:val="922"/>
    <w:link w:val="907"/>
    <w:rPr>
      <w:b/>
      <w:sz w:val="27"/>
    </w:rPr>
  </w:style>
  <w:style w:type="character" w:styleId="923">
    <w:name w:val="Основной текст_"/>
    <w:next w:val="923"/>
    <w:link w:val="924"/>
    <w:rPr>
      <w:sz w:val="26"/>
      <w:szCs w:val="26"/>
      <w:shd w:val="clear" w:color="auto" w:fill="ffffff"/>
    </w:rPr>
  </w:style>
  <w:style w:type="paragraph" w:styleId="924">
    <w:name w:val="Основной текст2"/>
    <w:basedOn w:val="900"/>
    <w:next w:val="924"/>
    <w:link w:val="923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  <w:style w:type="paragraph" w:styleId="928" w:customStyle="1">
    <w:name w:val="Содержимое врезки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uppressLineNumbers w:val="0"/>
    </w:pPr>
    <w:rPr>
      <w:rFonts w:ascii="Times New Roman" w:hAnsi="Times New Roman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31" w:customStyle="1">
    <w:name w:val="Normal (Web)"/>
    <w:basedOn w:val="86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2" w:customStyle="1">
    <w:name w:val="Цветовое выделение"/>
    <w:uiPriority w:val="99"/>
    <w:rPr>
      <w:b/>
      <w:color w:val="26282f"/>
    </w:rPr>
  </w:style>
  <w:style w:type="paragraph" w:styleId="93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6</cp:revision>
  <dcterms:created xsi:type="dcterms:W3CDTF">2014-10-29T08:28:00Z</dcterms:created>
  <dcterms:modified xsi:type="dcterms:W3CDTF">2026-05-04T13:45:40Z</dcterms:modified>
  <cp:version>917504</cp:version>
</cp:coreProperties>
</file>