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right="49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8"/>
        <w:ind w:right="496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/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left="7788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8"/>
        <w:ind w:left="7788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8"/>
        <w:ind w:right="496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егламента предоставления государственной услуги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8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68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рждения административных регламентов предоставления государственных услуг 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 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numPr>
          <w:ilvl w:val="0"/>
          <w:numId w:val="7"/>
        </w:numPr>
        <w:ind w:left="0"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в</w:t>
      </w:r>
      <w:r>
        <w:rPr>
          <w:rFonts w:ascii="Times New Roman" w:hAnsi="Times New Roman" w:cs="Times New Roman"/>
          <w:color w:val="000000"/>
          <w:sz w:val="28"/>
        </w:rPr>
        <w:t xml:space="preserve">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right="-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Признать утратившими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силу приказы Министерства образования и науки Республики Татарстан: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05.11.2020 № под-1158/20 «Об утверждении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color w:val="000000"/>
          <w:sz w:val="28"/>
        </w:rPr>
        <w:t xml:space="preserve">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20.05.2021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под-736/21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вный регламент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услуги по выдаче предварительного разрешения на закрытие счета, снятие, перевод, расходование денежных средств,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принадлежащих несовершеннолетнему, находящихся на счете (вкладе) в банке или иной кредитной организации, утвержденный приказом Министерства образования и науки Республики Татарстан от 05.11.2020 № под-1158/20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20.10.2022 № под-1772/22 «О внесении изменений в приказ Министерства образования и науки Республики Татарстан от 05.11.2020 № под-1158/20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color w:val="000000"/>
          <w:sz w:val="28"/>
        </w:rPr>
        <w:t xml:space="preserve">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8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ind w:left="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И.о.министра </w:t>
        <w:tab/>
        <w:tab/>
        <w:tab/>
        <w:tab/>
        <w:tab/>
        <w:tab/>
        <w:tab/>
        <w:tab/>
        <w:tab/>
        <w:tab/>
        <w:t xml:space="preserve"> Р.Г.Музипов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shd w:val="nil"/>
      </w:pPr>
      <w:r>
        <w:br w:type="page" w:clear="all"/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Style w:val="684"/>
        <w:ind w:left="671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84"/>
        <w:ind w:left="671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</w:t>
      </w:r>
      <w:r/>
    </w:p>
    <w:p>
      <w:pPr>
        <w:pStyle w:val="684"/>
        <w:ind w:left="671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 </w:t>
      </w:r>
      <w:r/>
    </w:p>
    <w:p>
      <w:pPr>
        <w:pStyle w:val="684"/>
        <w:ind w:left="671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_________№___________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684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/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 выдаче предварительного разрешения на закрытие счета, снятие, перевод,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684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расходование денежных средств, принадлежащих несовершеннолетнему,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684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находящихся на счете (вкладе) в банке или иной кредитной организации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684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/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684"/>
        <w:ind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Настоящий регламент устанавливает стандарт и порядок предоставления государст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венной услуги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 (далее – государственная услуга).</w:t>
      </w:r>
      <w:r/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Заявителями являются: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несовершеннолетние граждане Российской Федерации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возрасте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 четырнадцати до восемнадцати лет, действующие с согласия законных представителей;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есовершеннолетние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возрасте от четырнадцати до восемнадцати 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огласия законных представителей;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законные представители несовершеннолетних граждан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1.3. 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2.1. Наименование государственной услуги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ind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организации.</w:t>
      </w:r>
      <w:r/>
    </w:p>
    <w:p>
      <w:pPr>
        <w:ind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организации (приложение № 6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Регламенту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); </w:t>
      </w:r>
      <w:r/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 Регламенту)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bCs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://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/) (далее – Республиканский портал).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многофункциональный центр предоставления государственных услуг (далее – МФЦ)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или на Республиканском портале,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2.4.5.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 о требованиях к помещениям,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 о показателях 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center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учитыв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- Федеральн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ый № 210-ФЗ), с использованием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Единого портала ((при наличии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ти),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2.10.5.2. Формирование запроса осуществляется посредством заполнения электронной формы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печати на бумажном носителе копии электронной формы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сохранение ранее введенных в электронную форму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заполнение полей электронной формы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вернуться на любой из этапов заполнения электронной формы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без потери ранее введенной информации;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возможность доступа заявителя к ранее поданным им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течение не менее одного года, а также частично сформированным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просам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- в течение не менее трех месяцев.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лию, имя, отчество (последнее –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предоставления результата государственной услуги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 регистрации запроса и документов, поданных заявителем.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2.10.8. Не допускается предоставление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firstLine="567"/>
        <w:jc w:val="both"/>
        <w:spacing w:after="0" w:line="61" w:lineRule="atLeast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Запрос, подаваемый на бумажном носителе, подается по формам согласно приложениям № 4, 5 к настоящему Регламенту, подписывается заявителем собственноручно.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Запрос, подаваемый 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в электронной форме, заполняется посредством внесения соответствующих сведений в интерактивную форму, подпис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ывается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2.11.2. Запрос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При направлении запроса посредством Единого портала (при наличии технической возможности), Республиканского портала 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заявитель в день подачи запроса получает в личном кабинете Единого портала (при наличии технической возможности), Республиканского портала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</w:pP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При подаче документов, предусмотренны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соответс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  <w:t xml:space="preserve">твии с требованиями Федерального закона № 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лично;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почтовым отправл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ением с уведомлением о вручении.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</w:p>
    <w:p>
      <w:pPr>
        <w:contextualSpacing/>
        <w:ind w:firstLine="567"/>
        <w:jc w:val="center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2.12. Исчерпывающий перечень оснований для отказа в приеме запроса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 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2.12.1.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Основания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документов,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некорректное заполнение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апроса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2.12.2. Решение об отказе в приеме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 настоящему Регламенту, подписывается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через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приложении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 настоящему Регламенту, подписывается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через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SimSu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/>
          <w:bCs/>
          <w:color w:val="000000"/>
          <w:sz w:val="28"/>
          <w:szCs w:val="28"/>
          <w:lang w:eastAsia="ru-RU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SimSu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tabs>
          <w:tab w:val="left" w:pos="9923" w:leader="none"/>
        </w:tabs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1) профилирование заявителя;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3) межведомственное информационное взаимодействие;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5) предоставление результата государственной услуги.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посредством Единого портала;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посредством Республиканского портала;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вручением лично при непосредственном обращении в орган опеки и попечительства;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567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</w:t>
      </w:r>
      <w:r/>
    </w:p>
    <w:p>
      <w:pPr>
        <w:ind w:left="567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Административному регламенту </w:t>
      </w:r>
      <w:r/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выдаче</w:t>
      </w: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по</w:t>
      </w: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предварительного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</w:p>
    <w:p>
      <w:pPr>
        <w:ind w:left="567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2</w:t>
      </w:r>
      <w:r/>
    </w:p>
    <w:p>
      <w:pPr>
        <w:ind w:left="567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Административному регламенту </w:t>
      </w:r>
      <w:r/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</w:t>
      </w: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</w:t>
      </w: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выдаче предварительного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3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right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Таблица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Style w:val="87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3"/>
        <w:gridCol w:w="4663"/>
        <w:gridCol w:w="2757"/>
        <w:gridCol w:w="2102"/>
      </w:tblGrid>
      <w:tr>
        <w:tblPrEx/>
        <w:trPr/>
        <w:tc>
          <w:tcPr>
            <w:tcW w:w="673" w:type="dxa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№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4663" w:type="dxa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3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1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46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Выдача предварительного 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разрешения на закрытие счета, 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снятие, перевод, расходование 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денежных средств, принадлежащих 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несовершеннолетнему, находящихся 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на счете (вкладе) в банке или 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иной кредитной организации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</w:rPr>
              <w:t xml:space="preserve">несовершеннолетние граждане Российской Федерации в возрасте от четырнадцати до восемнадцати лет, действующие с согласия законных представителей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1А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3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466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</w:rPr>
              <w:t xml:space="preserve">несовершеннолетние граждане Российской Федерации в возрасте от четырнадцати до восемнадцати лет, действующие без согласия законных представителей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2А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3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466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</w:rPr>
              <w:t xml:space="preserve">законные представители несовершеннолетних граждан Российской Федерации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3А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3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466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</w:rPr>
      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 Российской Федерации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 xml:space="preserve">4А</w:t>
            </w:r>
            <w:r>
              <w:rPr>
                <w:rFonts w:eastAsia="Arial"/>
                <w:color w:val="000000"/>
                <w:sz w:val="28"/>
                <w:szCs w:val="28"/>
              </w:rPr>
            </w:r>
            <w:r>
              <w:rPr>
                <w:rFonts w:eastAsia="Arial"/>
                <w:color w:val="000000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shd w:val="clear" w:color="ffffff" w:fill="ffffff"/>
        <w:rPr>
          <w:rFonts w:ascii="Arial" w:hAnsi="Arial" w:eastAsia="Arial" w:cs="Arial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  <w:lang w:eastAsia="ru-RU"/>
        </w:rPr>
        <w:t xml:space="preserve"> </w:t>
      </w:r>
      <w:r>
        <w:rPr>
          <w:rFonts w:ascii="Arial" w:hAnsi="Arial" w:eastAsia="Arial" w:cs="Arial"/>
          <w:color w:val="000000"/>
          <w:sz w:val="28"/>
          <w:szCs w:val="28"/>
          <w:lang w:eastAsia="ru-RU"/>
        </w:rPr>
      </w:r>
      <w:r>
        <w:rPr>
          <w:rFonts w:ascii="Arial" w:hAnsi="Arial" w:eastAsia="Arial" w:cs="Arial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right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right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1800"/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Style w:val="871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Расшифровка видов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, документов, 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предоставляемых заявителем, кол-во документов из группы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Исчерпывающий пе</w:t>
            </w:r>
            <w:r>
              <w:rPr>
                <w:color w:val="000000"/>
                <w:sz w:val="28"/>
                <w:szCs w:val="28"/>
              </w:rPr>
              <w:t xml:space="preserve">речень документов, необходимых </w:t>
            </w:r>
            <w:r>
              <w:rPr>
                <w:color w:val="000000"/>
                <w:sz w:val="28"/>
                <w:szCs w:val="28"/>
              </w:rPr>
              <w:t xml:space="preserve">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окумент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удостоверяющий личность заявителя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eastAsia="Arial"/>
                <w:sz w:val="28"/>
                <w:szCs w:val="28"/>
              </w:rPr>
            </w:r>
            <w:r>
              <w:rPr>
                <w:rFonts w:eastAsia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jc w:val="both"/>
              <w:spacing w:line="61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реквизиты счета, открытого на имя несовершеннолетнего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</w:t>
            </w:r>
            <w:r>
              <w:rPr>
                <w:color w:val="000000"/>
                <w:sz w:val="28"/>
                <w:szCs w:val="28"/>
              </w:rPr>
              <w:t xml:space="preserve">портал, 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jc w:val="both"/>
              <w:spacing w:line="61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договор банковского счета (вклада), заключенный на имя несовершеннолетнего;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jc w:val="both"/>
              <w:spacing w:line="61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сведения об остатке денежных средств на счёте (сберегательная книжка, выписка с банковского счета);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jc w:val="both"/>
              <w:spacing w:line="61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документы, подтверждающие целесообразность снятия денежных средств в интересах несовершеннолетнего согласно требованиям законодательства;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документ, удостоверяющий полномочия представителя заявителя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Документы, </w:t>
            </w:r>
            <w:r>
              <w:rPr>
                <w:color w:val="000000"/>
                <w:sz w:val="28"/>
                <w:szCs w:val="28"/>
              </w:rPr>
              <w:t xml:space="preserve"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свидетельство об установлении отцовства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</w:t>
            </w:r>
            <w:r>
              <w:rPr>
                <w:color w:val="000000"/>
                <w:sz w:val="28"/>
                <w:szCs w:val="28"/>
              </w:rPr>
              <w:t xml:space="preserve">технической возможности)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сведения о рождении ребенка (из Федеральной налоговой службы)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10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«Опека и попечительство»)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свидетельство о смерти родителя несовершеннолетнего (при наличии указанного обстоятельства)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решение суда о лишении (ограничении) родительских прав иного родителя (при наличии указанных обстоятельств)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13.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решение суда о признании недееспособным иного родителя (при наличии указанных обстоятельств)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bookmarkStart w:id="0" w:name="_GoBack"/>
            <w:r/>
            <w:bookmarkEnd w:id="0"/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14.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1А, </w:t>
            </w:r>
            <w:r>
              <w:rPr>
                <w:color w:val="000000"/>
                <w:sz w:val="28"/>
                <w:szCs w:val="28"/>
              </w:rPr>
              <w:t xml:space="preserve">2А, 3А, 4А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регистрации несовершеннолетнего по месту жительства (из Министерства </w:t>
            </w:r>
            <w:r>
              <w:rPr>
                <w:sz w:val="28"/>
                <w:szCs w:val="28"/>
              </w:rPr>
              <w:t xml:space="preserve">внутренних дел Российской Федерации)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 опеки и попечительства, МФЦ, </w:t>
            </w:r>
            <w:r>
              <w:rPr>
                <w:color w:val="000000"/>
                <w:sz w:val="28"/>
                <w:szCs w:val="28"/>
              </w:rPr>
              <w:t xml:space="preserve">Республиканский портал, Единый портал (при наличии технической возможности)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567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Административному регламенту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</w:t>
      </w: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</w:t>
      </w: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выдаче предварительного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закрытие счета,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снятие, перевод, расходование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денежных средств, принадлежащих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несовершеннолетнему, находящихся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на счете (вкладе) в банке или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left="567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иной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Исчерпывающий перечень оснований для отказа в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  <w:t xml:space="preserve">предоставлении государственной услуги и отказа в приеме запроса и документов, необходимых для предоставления Услуги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tbl>
      <w:tblPr>
        <w:tblStyle w:val="872"/>
        <w:tblW w:w="10201" w:type="dxa"/>
        <w:tblLook w:val="04A0" w:firstRow="1" w:lastRow="0" w:firstColumn="1" w:lastColumn="0" w:noHBand="0" w:noVBand="1"/>
      </w:tblPr>
      <w:tblGrid>
        <w:gridCol w:w="652"/>
        <w:gridCol w:w="2224"/>
        <w:gridCol w:w="7325"/>
      </w:tblGrid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Идентификатор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Расшифровка видов документов, предоставляемых заявителем, кол-во документов из группы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7"/>
        </w:trPr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201" w:type="dxa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Основания для отказа в приеме запроса и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представление неполного комплекта документов, указанных в пункте 2.11.1 настоящего Регламента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обращение за предоставлением иной государственной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некорректное заполнение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52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r>
              <w:rPr>
                <w:rFonts w:ascii="Times New Roman" w:hAnsi="Times New Roman" w:eastAsia="Calibri"/>
                <w:sz w:val="26"/>
                <w:szCs w:val="26"/>
                <w:highlight w:val="white"/>
              </w:rPr>
              <w:t xml:space="preserve">1А, 2А, 3А</w:t>
            </w:r>
            <w:r>
              <w:rPr>
                <w:rFonts w:ascii="Times New Roman" w:hAnsi="Times New Roman" w:eastAsia="Calibri"/>
                <w:sz w:val="26"/>
                <w:szCs w:val="26"/>
              </w:rPr>
              <w:t xml:space="preserve">, 4А</w:t>
            </w:r>
            <w:r/>
          </w:p>
        </w:tc>
        <w:tc>
          <w:tcPr>
            <w:tcW w:w="7325" w:type="dxa"/>
            <w:textDirection w:val="lrTb"/>
            <w:noWrap w:val="false"/>
          </w:tcPr>
          <w:p>
            <w:pPr>
              <w:jc w:val="both"/>
              <w:spacing w:line="5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3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Приложение № 4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к Административному регламенту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предоставления государственной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услуги по выдаче предварительного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разрешения на закрытие счета,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снятие, перевод, расходование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денежных средств, принадлежащих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несовершеннолетнему, находящихся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на счете (вкладе) в банке или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иной кредитной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Рекомендуемая форма запроса,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подаваемого несовершеннолетним,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04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достигшим возраста 14 лет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2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5102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4962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vertAlign w:val="superscript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       ИНН_______________________________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       ОГРН______________________________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         ___________________________________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5040"/>
        <w:jc w:val="center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  <w:t xml:space="preserve">(ФИО (последнее при наличии) полностью)</w:t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проживающего (-ей) по адресу:___________________________,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2977"/>
        <w:jc w:val="center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  <w:t xml:space="preserve">(полный адрес)</w:t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телефон: 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паспорт: 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600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</w:r>
    </w:p>
    <w:p>
      <w:pPr>
        <w:ind w:left="5998"/>
        <w:jc w:val="center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Запрос на предоставление государственной услуги по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выдаче предварительного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разрешения на закрытие счета, снятие, перевод, расходование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денежных средств,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принадлежащих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</w:p>
    <w:p>
      <w:pPr>
        <w:pStyle w:val="87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left="3528"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(Ф.И.О.-последнее при наличии) 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Style w:val="8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проживающий (ая) по адресу_______________________________________________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дать предварительное разрешение на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закрытие счета, снятие, перевод, расходование денежных средств (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подчеркнуть нужное</w:t>
      </w:r>
      <w:r>
        <w:rPr>
          <w:rFonts w:ascii="Times New Roman" w:hAnsi="Times New Roman" w:cs="Times New Roman"/>
          <w:bCs/>
          <w:sz w:val="26"/>
          <w:szCs w:val="26"/>
        </w:rPr>
        <w:t xml:space="preserve">), принадлежащих мне, находящихся на счете (вкладе) в банке или иной кредитной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род</w:t>
      </w:r>
      <w:r>
        <w:rPr>
          <w:rFonts w:ascii="Times New Roman" w:hAnsi="Times New Roman" w:cs="Times New Roman"/>
          <w:sz w:val="26"/>
          <w:szCs w:val="26"/>
        </w:rPr>
        <w:t xml:space="preserve">ителя (законного представителя)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имеется.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(Ф.И.О.-последнее при наличии)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Результат предоставления государственной услуги прошу представить/направить   ________________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Единый портал (при наличии технической возможности), через Республиканский портал - выбрать нужное).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Подтверждаю достоверность представленной информации.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Я предупрежден(а) об ответственности за представление недостоверных или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неполных сведений.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Приложение: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1._____________________________________________________________________    2.______________________________________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_______________________________    3._____________________________________________________________________    4._____________________________________________________________________    5._____________________________________________________________________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_____________ 20 __ года                                  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(подпись/ расшифровка подписи)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Приложение № 5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к Административному регламенту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предоставления государственной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услуги по выдаче предварительного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разрешения на закрытие счета,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снятие, перевод, расходование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денежных средств, принадлежащих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несовершеннолетнему, находящихся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на счете (вкладе) в банке или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869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иной кредитной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4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Рекомендуемая форма запроса,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04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подаваемого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законным представителем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2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5102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4962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vertAlign w:val="superscript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       ИНН_______________________________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       ОГРН______________________________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         ___________________________________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5040"/>
        <w:jc w:val="center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  <w:t xml:space="preserve">(ФИО (последнее при наличии) полностью)</w:t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проживающего (-ей) по адресу:___________________________,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2977"/>
        <w:jc w:val="center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  <w:t xml:space="preserve">(полный адрес)</w:t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телефон: 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504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  <w:t xml:space="preserve">паспорт: ___________________________</w:t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Courier New"/>
          <w:color w:val="000000"/>
          <w:sz w:val="26"/>
          <w:szCs w:val="26"/>
          <w:lang w:eastAsia="ru-RU"/>
        </w:rPr>
      </w:r>
    </w:p>
    <w:p>
      <w:pPr>
        <w:ind w:left="600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hAnsi="Times New Roman" w:eastAsia="Times New Roman" w:cs="Courier New"/>
          <w:color w:val="000000"/>
          <w:sz w:val="26"/>
          <w:szCs w:val="26"/>
          <w:vertAlign w:val="superscript"/>
          <w:lang w:eastAsia="ru-RU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eastAsia="ru-RU"/>
        </w:rPr>
      </w:r>
    </w:p>
    <w:p>
      <w:pPr>
        <w:ind w:left="5998"/>
        <w:jc w:val="center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Запрос на предоставление государственной услуги по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выдаче предварительного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разрешения на закрытие счета, снятие, перевод, расходование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денежных средств,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принадлежащих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</w:p>
    <w:p>
      <w:pPr>
        <w:pStyle w:val="87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предварительное разрешение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закрытие счета, снятие, перевод, расходование денежных 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подчеркнуть нужное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принадлежащих несовершеннолетнему, находящихся на счете (вкладе) в банке или иной кредитной организации______________________________________________________________</w:t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(Ф.И.О. несовершеннолетнего (- ей)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8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 года рождения, с принадлежащего счета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банке или 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________________________________,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(объяснить причину снятия денежных средств несовершеннолетнего)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Результат предоставления государственной услуги прошу представить/направить ________________ (лично, посредством заказного почтового отправления, через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многофункциональный центр предоставления государственных и муниципальных услуг, Единый портал (при наличии технической возможности), через Республиканский портал - выбрать нужное).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Подтверждаю достоверность представленной информации.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Я предупрежден(а) об ответственности за представление недостоверных или неполных сведений.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Приложение: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1._____________________________________________________________________    2._____________________________________________________________________    3._____________________________________________________________________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_____________ 20 __ года                                  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(подпись/ расшифровка подписи)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услуги по выдаче предварительного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7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164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Рекомендуемая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4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SimSun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SimSun" w:cs="Times New Roman"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предоставлении государственной услуги по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выдаче предварительного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разрешения на закрытие счета, снятие, перевод, расходование денежных средств, принадлежащих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несовершеннолетнему, находящихся на счете (вкладе) в банке или иной кредитной организации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spacing w:before="100" w:beforeAutospacing="1" w:after="100" w:afterAutospacing="1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По результатам рассмотрения запроса ______________________________________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4956" w:firstLine="708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spacing w:before="100" w:beforeAutospacing="1" w:after="100" w:afterAutospacing="1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</w:t>
      </w:r>
      <w:r>
        <w:rPr>
          <w:rFonts w:ascii="Times New Roman" w:hAnsi="Times New Roman" w:eastAsia="SimSun" w:cs="Times New Roman"/>
          <w:sz w:val="28"/>
          <w:szCs w:val="28"/>
        </w:rPr>
        <w:t xml:space="preserve">го кодекса Российской Федерации</w:t>
      </w:r>
      <w:r>
        <w:rPr>
          <w:rFonts w:ascii="Times New Roman" w:hAnsi="Times New Roman" w:eastAsia="SimSun" w:cs="Times New Roman"/>
          <w:sz w:val="28"/>
          <w:szCs w:val="28"/>
        </w:rPr>
        <w:t xml:space="preserve">,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Семейного кодекса Республики Татарстан,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Федерального закона от 24.04.2008 № 48-ФЗ «Об опеке и попечительстве»</w:t>
      </w:r>
      <w:r>
        <w:rPr>
          <w:rFonts w:ascii="Times New Roman" w:hAnsi="Times New Roman" w:eastAsia="SimSun" w:cs="Times New Roman"/>
          <w:sz w:val="28"/>
          <w:szCs w:val="28"/>
        </w:rPr>
        <w:t xml:space="preserve"> принято решение от_____</w:t>
      </w:r>
      <w:r>
        <w:rPr>
          <w:rFonts w:ascii="Times New Roman" w:hAnsi="Times New Roman" w:eastAsia="SimSun" w:cs="Times New Roman"/>
          <w:sz w:val="28"/>
          <w:szCs w:val="28"/>
        </w:rPr>
        <w:t xml:space="preserve">____№_____ предоставить государственную услугу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организации.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Должностное лицо 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left="2124" w:right="-1" w:firstLine="708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 xml:space="preserve">(ФИО)</w:t>
      </w:r>
      <w:r>
        <w:rPr>
          <w:rFonts w:ascii="Times New Roman" w:hAnsi="Times New Roman" w:eastAsia="Calibri" w:cs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:vertAlign w:val="superscript"/>
        </w:rPr>
      </w:r>
    </w:p>
    <w:p>
      <w:pPr>
        <w:ind w:left="5670" w:right="-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vertAlign w:val="superscript"/>
        </w:rPr>
        <w:pBdr>
          <w:top w:val="single" w:color="000000" w:sz="4" w:space="9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 xml:space="preserve">(подпись должностного лица органа, осуществляющего подписание)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spacing w:after="160" w:line="259" w:lineRule="auto"/>
        <w:rPr>
          <w:rFonts w:ascii="Times New Roman" w:hAnsi="Times New Roman" w:eastAsia="Calibri" w:cs="Times New Roman"/>
          <w:sz w:val="20"/>
          <w:szCs w:val="20"/>
          <w:highlight w:val="white"/>
        </w:rPr>
      </w:pPr>
      <w:r>
        <w:rPr>
          <w:rFonts w:ascii="Times New Roman" w:hAnsi="Times New Roman" w:eastAsia="Calibri" w:cs="Times New Roman"/>
          <w:sz w:val="20"/>
          <w:szCs w:val="20"/>
        </w:rPr>
        <w:br w:type="page" w:clear="all"/>
      </w:r>
      <w:r>
        <w:rPr>
          <w:rFonts w:ascii="Times New Roman" w:hAnsi="Times New Roman" w:eastAsia="Calibri" w:cs="Times New Roman"/>
          <w:sz w:val="20"/>
          <w:szCs w:val="20"/>
          <w:highlight w:val="white"/>
        </w:rPr>
      </w:r>
      <w:r>
        <w:rPr>
          <w:rFonts w:ascii="Times New Roman" w:hAnsi="Times New Roman" w:eastAsia="Calibri" w:cs="Times New Roman"/>
          <w:sz w:val="20"/>
          <w:szCs w:val="20"/>
          <w:highlight w:val="white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услуги по выдаче предварительного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522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164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Рекомендуемая 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ind w:left="506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         Кому____________________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506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         Контактные данные______________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708" w:firstLine="708"/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ФИО заявителя (последнее при наличии)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от___________№_______и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Федерального закона от 24.04.2008 № 48-ФЗ «Об опеке и попечительстве»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принято решение от_________№_____ отказать в приеме документов, необходимых для предоставления услуги, по основанию:_________________________________.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218" w:firstLine="482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(дата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left="3544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outlineLvl w:val="1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</w:p>
    <w:p>
      <w:pPr>
        <w:ind w:left="5256" w:firstLine="414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услуги по выдаче предварительного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разрешения на закрытие счета,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снятие, перевод, расходование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денежных средств, принадлежащих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несовершеннолетнему, находящихся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на счете (вкладе) в банке или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иной кредитной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244" w:firstLine="414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95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244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24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84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Кому_________________________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84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484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По результатам рассмотрения запроса _________________________________________________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  <w:t xml:space="preserve">ФИО заявителя (последнее при наличии)</w:t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vertAlign w:val="superscript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</w:t>
      </w:r>
      <w:r>
        <w:rPr>
          <w:rFonts w:ascii="Times New Roman" w:hAnsi="Times New Roman" w:eastAsia="SimSun" w:cs="Times New Roman"/>
          <w:bCs/>
          <w:color w:val="000000"/>
          <w:sz w:val="28"/>
          <w:szCs w:val="28"/>
          <w:lang w:eastAsia="ru-RU"/>
        </w:rPr>
        <w:t xml:space="preserve">Федерального закона от 24.04.2008 № 48-ФЗ «Об опеке и попечительстве»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 принято решение от_________№_____ отказать в предоставлении государственной услуги, по основанию:______________________________________________________________.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(указывается в том числе перечень документов и информаци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SimSun" w:cs="Times New Roman"/>
          <w:color w:val="000000"/>
          <w:sz w:val="28"/>
          <w:szCs w:val="28"/>
          <w:lang w:eastAsia="ru-RU"/>
        </w:rPr>
      </w:r>
    </w:p>
    <w:p>
      <w:pPr>
        <w:ind w:left="218" w:firstLine="482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 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(дата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61312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r>
    </w:p>
    <w:p>
      <w:pPr>
        <w:ind w:left="3544"/>
        <w:spacing w:after="0" w:line="240" w:lineRule="auto"/>
        <w:widowControl w:val="off"/>
        <w:rPr>
          <w:rFonts w:ascii="Times New Roman" w:hAnsi="Times New Roman" w:eastAsia="SimSu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vertAlign w:val="superscript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SimSun" w:cs="Times New Roman"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SimSun" w:cs="Times New Roman"/>
          <w:color w:val="000000"/>
          <w:sz w:val="18"/>
          <w:szCs w:val="1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</w:p>
    <w:p>
      <w:pPr>
        <w:ind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3"/>
    <w:link w:val="705"/>
    <w:uiPriority w:val="10"/>
    <w:rPr>
      <w:sz w:val="48"/>
      <w:szCs w:val="48"/>
    </w:rPr>
  </w:style>
  <w:style w:type="character" w:styleId="676">
    <w:name w:val="Subtitle Char"/>
    <w:basedOn w:val="693"/>
    <w:link w:val="707"/>
    <w:uiPriority w:val="11"/>
    <w:rPr>
      <w:sz w:val="24"/>
      <w:szCs w:val="24"/>
    </w:rPr>
  </w:style>
  <w:style w:type="character" w:styleId="677">
    <w:name w:val="Quote Char"/>
    <w:link w:val="709"/>
    <w:uiPriority w:val="29"/>
    <w:rPr>
      <w:i/>
    </w:rPr>
  </w:style>
  <w:style w:type="character" w:styleId="678">
    <w:name w:val="Intense Quote Char"/>
    <w:link w:val="711"/>
    <w:uiPriority w:val="30"/>
    <w:rPr>
      <w:i/>
    </w:rPr>
  </w:style>
  <w:style w:type="character" w:styleId="679">
    <w:name w:val="Header Char"/>
    <w:basedOn w:val="693"/>
    <w:link w:val="713"/>
    <w:uiPriority w:val="99"/>
  </w:style>
  <w:style w:type="character" w:styleId="680">
    <w:name w:val="Caption Char"/>
    <w:basedOn w:val="717"/>
    <w:link w:val="715"/>
    <w:uiPriority w:val="99"/>
  </w:style>
  <w:style w:type="character" w:styleId="681">
    <w:name w:val="Footnote Text Char"/>
    <w:link w:val="846"/>
    <w:uiPriority w:val="99"/>
    <w:rPr>
      <w:sz w:val="18"/>
    </w:rPr>
  </w:style>
  <w:style w:type="character" w:styleId="682">
    <w:name w:val="Endnote Text Char"/>
    <w:link w:val="849"/>
    <w:uiPriority w:val="99"/>
    <w:rPr>
      <w:sz w:val="20"/>
    </w:r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Title"/>
    <w:basedOn w:val="683"/>
    <w:next w:val="683"/>
    <w:link w:val="706"/>
    <w:uiPriority w:val="10"/>
    <w:qFormat/>
    <w:pPr>
      <w:contextualSpacing/>
      <w:spacing w:before="300"/>
    </w:pPr>
    <w:rPr>
      <w:sz w:val="48"/>
      <w:szCs w:val="48"/>
    </w:rPr>
  </w:style>
  <w:style w:type="character" w:styleId="706" w:customStyle="1">
    <w:name w:val="Название Знак"/>
    <w:link w:val="705"/>
    <w:uiPriority w:val="10"/>
    <w:rPr>
      <w:sz w:val="48"/>
      <w:szCs w:val="48"/>
    </w:rPr>
  </w:style>
  <w:style w:type="paragraph" w:styleId="707">
    <w:name w:val="Subtitle"/>
    <w:basedOn w:val="683"/>
    <w:next w:val="683"/>
    <w:link w:val="708"/>
    <w:uiPriority w:val="11"/>
    <w:qFormat/>
    <w:pPr>
      <w:spacing w:before="200"/>
    </w:pPr>
    <w:rPr>
      <w:sz w:val="24"/>
      <w:szCs w:val="24"/>
    </w:rPr>
  </w:style>
  <w:style w:type="character" w:styleId="708" w:customStyle="1">
    <w:name w:val="Подзаголовок Знак"/>
    <w:link w:val="707"/>
    <w:uiPriority w:val="11"/>
    <w:rPr>
      <w:sz w:val="24"/>
      <w:szCs w:val="24"/>
    </w:rPr>
  </w:style>
  <w:style w:type="paragraph" w:styleId="709">
    <w:name w:val="Quote"/>
    <w:basedOn w:val="683"/>
    <w:next w:val="683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83"/>
    <w:next w:val="683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paragraph" w:styleId="713">
    <w:name w:val="Header"/>
    <w:basedOn w:val="68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Верхний колонтитул Знак"/>
    <w:link w:val="713"/>
    <w:uiPriority w:val="99"/>
  </w:style>
  <w:style w:type="paragraph" w:styleId="715">
    <w:name w:val="Footer"/>
    <w:basedOn w:val="68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Footer Char"/>
    <w:uiPriority w:val="99"/>
  </w:style>
  <w:style w:type="paragraph" w:styleId="717">
    <w:name w:val="Caption"/>
    <w:basedOn w:val="683"/>
    <w:next w:val="68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8" w:customStyle="1">
    <w:name w:val="Нижний колонтитул Знак"/>
    <w:link w:val="715"/>
    <w:uiPriority w:val="99"/>
  </w:style>
  <w:style w:type="table" w:styleId="719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563c1" w:themeColor="hyperlink"/>
      <w:u w:val="single"/>
    </w:rPr>
  </w:style>
  <w:style w:type="paragraph" w:styleId="846">
    <w:name w:val="footnote text"/>
    <w:basedOn w:val="68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68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683"/>
    <w:next w:val="683"/>
    <w:uiPriority w:val="39"/>
    <w:unhideWhenUsed/>
    <w:pPr>
      <w:spacing w:after="57"/>
    </w:pPr>
  </w:style>
  <w:style w:type="paragraph" w:styleId="853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4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5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6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7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8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59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0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3"/>
    <w:next w:val="683"/>
    <w:uiPriority w:val="99"/>
    <w:unhideWhenUsed/>
    <w:pPr>
      <w:spacing w:after="0"/>
    </w:pPr>
  </w:style>
  <w:style w:type="paragraph" w:styleId="863">
    <w:name w:val="No Spacing"/>
    <w:basedOn w:val="683"/>
    <w:uiPriority w:val="1"/>
    <w:qFormat/>
    <w:pPr>
      <w:spacing w:after="0" w:line="240" w:lineRule="auto"/>
    </w:pPr>
  </w:style>
  <w:style w:type="paragraph" w:styleId="864">
    <w:name w:val="List Paragraph"/>
    <w:basedOn w:val="683"/>
    <w:uiPriority w:val="34"/>
    <w:qFormat/>
    <w:pPr>
      <w:contextualSpacing/>
      <w:ind w:left="720"/>
    </w:pPr>
  </w:style>
  <w:style w:type="paragraph" w:styleId="865" w:customStyle="1">
    <w:name w:val="Заголовок 11"/>
    <w:qFormat/>
    <w:pPr>
      <w:jc w:val="right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sz w:val="28"/>
      <w:szCs w:val="20"/>
      <w:lang w:val="en-US"/>
    </w:rPr>
  </w:style>
  <w:style w:type="paragraph" w:styleId="866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7" w:customStyle="1">
    <w:name w:val="Без интервала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lang w:eastAsia="zh-CN"/>
    </w:rPr>
  </w:style>
  <w:style w:type="paragraph" w:styleId="868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  <w:style w:type="character" w:styleId="869" w:customStyle="1">
    <w:name w:val="Цветовое выделение"/>
    <w:uiPriority w:val="99"/>
    <w:rPr>
      <w:b/>
      <w:color w:val="26282f"/>
    </w:rPr>
  </w:style>
  <w:style w:type="paragraph" w:styleId="870" w:customStyle="1">
    <w:name w:val="Таблицы (моноширинный)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4"/>
      <w:szCs w:val="24"/>
      <w:lang w:eastAsia="ru-RU"/>
    </w:rPr>
  </w:style>
  <w:style w:type="table" w:styleId="871" w:customStyle="1">
    <w:name w:val="Сетка таблицы1"/>
    <w:basedOn w:val="694"/>
    <w:next w:val="71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Сетка таблицы11"/>
    <w:basedOn w:val="694"/>
    <w:next w:val="719"/>
    <w:uiPriority w:val="59"/>
    <w:pPr>
      <w:spacing w:after="0" w:line="240" w:lineRule="auto"/>
    </w:pPr>
    <w:rPr>
      <w:rFonts w:ascii="Arial" w:hAnsi="Arial" w:eastAsia="Arial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2026-04-19T14:43:00Z</dcterms:created>
  <dcterms:modified xsi:type="dcterms:W3CDTF">2026-05-04T13:30:39Z</dcterms:modified>
</cp:coreProperties>
</file>